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83C5" w14:textId="77777777" w:rsidR="003434F7" w:rsidRPr="00803E59" w:rsidRDefault="009A1040" w:rsidP="009A1040">
      <w:pPr>
        <w:jc w:val="center"/>
        <w:rPr>
          <w:rFonts w:ascii="Arial" w:hAnsi="Arial" w:cs="Arial"/>
          <w:b/>
          <w:sz w:val="24"/>
          <w:szCs w:val="24"/>
        </w:rPr>
      </w:pPr>
      <w:r w:rsidRPr="00803E59">
        <w:rPr>
          <w:rFonts w:ascii="Arial" w:hAnsi="Arial" w:cs="Arial"/>
          <w:b/>
          <w:sz w:val="24"/>
          <w:szCs w:val="24"/>
        </w:rPr>
        <w:t>REPUBLIKA HRVATSKA</w:t>
      </w:r>
    </w:p>
    <w:p w14:paraId="298FDBCF" w14:textId="77777777" w:rsidR="009A1040" w:rsidRPr="00803E59" w:rsidRDefault="009A1040" w:rsidP="009A1040">
      <w:pPr>
        <w:jc w:val="center"/>
        <w:rPr>
          <w:rFonts w:ascii="Arial" w:hAnsi="Arial" w:cs="Arial"/>
          <w:b/>
          <w:sz w:val="24"/>
          <w:szCs w:val="24"/>
        </w:rPr>
      </w:pPr>
      <w:r w:rsidRPr="00803E59">
        <w:rPr>
          <w:rFonts w:ascii="Arial" w:hAnsi="Arial" w:cs="Arial"/>
          <w:b/>
          <w:sz w:val="24"/>
          <w:szCs w:val="24"/>
        </w:rPr>
        <w:t>GRAD GAREŠNICA</w:t>
      </w:r>
    </w:p>
    <w:p w14:paraId="0EF0535E" w14:textId="77777777" w:rsidR="009A1040" w:rsidRPr="00803E59" w:rsidRDefault="009A1040" w:rsidP="009A1040">
      <w:pPr>
        <w:jc w:val="center"/>
        <w:rPr>
          <w:rFonts w:ascii="Arial" w:hAnsi="Arial" w:cs="Arial"/>
          <w:b/>
          <w:sz w:val="24"/>
          <w:szCs w:val="24"/>
        </w:rPr>
      </w:pPr>
    </w:p>
    <w:p w14:paraId="34BAF558" w14:textId="77777777" w:rsidR="009A1040" w:rsidRPr="00803E59" w:rsidRDefault="003C4070" w:rsidP="009A104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03E59">
        <w:rPr>
          <w:rFonts w:ascii="Arial" w:hAnsi="Arial" w:cs="Arial"/>
          <w:b/>
          <w:sz w:val="24"/>
          <w:szCs w:val="24"/>
        </w:rPr>
        <w:t>Upravni</w:t>
      </w:r>
      <w:proofErr w:type="spellEnd"/>
      <w:r w:rsidRPr="00803E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3E59">
        <w:rPr>
          <w:rFonts w:ascii="Arial" w:hAnsi="Arial" w:cs="Arial"/>
          <w:b/>
          <w:sz w:val="24"/>
          <w:szCs w:val="24"/>
        </w:rPr>
        <w:t>odjel</w:t>
      </w:r>
      <w:proofErr w:type="spellEnd"/>
      <w:r w:rsidRPr="00803E59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803E59">
        <w:rPr>
          <w:rFonts w:ascii="Arial" w:hAnsi="Arial" w:cs="Arial"/>
          <w:b/>
          <w:sz w:val="24"/>
          <w:szCs w:val="24"/>
        </w:rPr>
        <w:t>financije</w:t>
      </w:r>
      <w:proofErr w:type="spellEnd"/>
    </w:p>
    <w:p w14:paraId="036313A7" w14:textId="77777777" w:rsidR="009A1040" w:rsidRPr="00422DFD" w:rsidRDefault="00422DFD" w:rsidP="009A10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14:paraId="0AF5A99D" w14:textId="77777777" w:rsidR="009A1040" w:rsidRDefault="009A1040" w:rsidP="009A1040">
      <w:pPr>
        <w:jc w:val="both"/>
        <w:rPr>
          <w:rFonts w:ascii="Courier New" w:hAnsi="Courier New" w:cs="Courier New"/>
          <w:sz w:val="24"/>
          <w:szCs w:val="24"/>
        </w:rPr>
      </w:pPr>
    </w:p>
    <w:p w14:paraId="0D78AB81" w14:textId="77777777" w:rsidR="009A1040" w:rsidRDefault="009A1040" w:rsidP="009A1040">
      <w:pPr>
        <w:jc w:val="both"/>
        <w:rPr>
          <w:rFonts w:ascii="Courier New" w:hAnsi="Courier New" w:cs="Courier New"/>
          <w:sz w:val="24"/>
          <w:szCs w:val="24"/>
        </w:rPr>
      </w:pPr>
    </w:p>
    <w:p w14:paraId="69582191" w14:textId="77777777" w:rsidR="009A1040" w:rsidRDefault="009A1040" w:rsidP="009A1040">
      <w:pPr>
        <w:jc w:val="center"/>
        <w:rPr>
          <w:rFonts w:ascii="Courier New" w:hAnsi="Courier New" w:cs="Courier New"/>
          <w:sz w:val="24"/>
          <w:szCs w:val="24"/>
        </w:rPr>
      </w:pPr>
    </w:p>
    <w:p w14:paraId="750CB03C" w14:textId="77777777" w:rsidR="009A1040" w:rsidRDefault="009A1040" w:rsidP="009A1040">
      <w:pPr>
        <w:jc w:val="center"/>
        <w:rPr>
          <w:rFonts w:ascii="Courier New" w:hAnsi="Courier New" w:cs="Courier New"/>
          <w:sz w:val="24"/>
          <w:szCs w:val="24"/>
        </w:rPr>
      </w:pPr>
    </w:p>
    <w:p w14:paraId="02D1D19B" w14:textId="77777777" w:rsidR="009A1040" w:rsidRDefault="009A1040" w:rsidP="009A1040">
      <w:pPr>
        <w:jc w:val="center"/>
        <w:rPr>
          <w:rFonts w:ascii="Courier New" w:hAnsi="Courier New" w:cs="Courier New"/>
          <w:sz w:val="24"/>
          <w:szCs w:val="24"/>
        </w:rPr>
      </w:pPr>
    </w:p>
    <w:p w14:paraId="4662D8B0" w14:textId="77777777" w:rsidR="009A1040" w:rsidRDefault="009A1040" w:rsidP="009A1040">
      <w:pPr>
        <w:jc w:val="center"/>
        <w:rPr>
          <w:rFonts w:ascii="Courier New" w:hAnsi="Courier New" w:cs="Courier New"/>
          <w:sz w:val="24"/>
          <w:szCs w:val="24"/>
        </w:rPr>
      </w:pPr>
    </w:p>
    <w:p w14:paraId="591FA650" w14:textId="77777777" w:rsidR="009A1040" w:rsidRDefault="009A1040" w:rsidP="009A1040">
      <w:pPr>
        <w:jc w:val="center"/>
        <w:rPr>
          <w:rFonts w:ascii="Courier New" w:hAnsi="Courier New" w:cs="Courier New"/>
          <w:sz w:val="24"/>
          <w:szCs w:val="24"/>
        </w:rPr>
      </w:pPr>
    </w:p>
    <w:p w14:paraId="2E3C3BC2" w14:textId="77777777" w:rsidR="009A1040" w:rsidRDefault="009A1040" w:rsidP="009A1040">
      <w:pPr>
        <w:jc w:val="center"/>
        <w:rPr>
          <w:rFonts w:ascii="Courier New" w:hAnsi="Courier New" w:cs="Courier New"/>
          <w:sz w:val="24"/>
          <w:szCs w:val="24"/>
        </w:rPr>
      </w:pPr>
    </w:p>
    <w:p w14:paraId="57CD3C25" w14:textId="77777777" w:rsidR="009A1040" w:rsidRDefault="009A1040" w:rsidP="009A1040">
      <w:pPr>
        <w:jc w:val="center"/>
        <w:rPr>
          <w:rFonts w:ascii="Courier New" w:hAnsi="Courier New" w:cs="Courier New"/>
          <w:sz w:val="24"/>
          <w:szCs w:val="24"/>
        </w:rPr>
      </w:pPr>
    </w:p>
    <w:p w14:paraId="778939E5" w14:textId="77777777" w:rsidR="009A1040" w:rsidRDefault="009A1040" w:rsidP="009A1040">
      <w:pPr>
        <w:jc w:val="center"/>
        <w:rPr>
          <w:rFonts w:ascii="Courier New" w:hAnsi="Courier New" w:cs="Courier New"/>
          <w:sz w:val="24"/>
          <w:szCs w:val="24"/>
        </w:rPr>
      </w:pPr>
    </w:p>
    <w:p w14:paraId="667EF9F4" w14:textId="77777777" w:rsidR="009A1040" w:rsidRDefault="009A1040" w:rsidP="009A1040">
      <w:pPr>
        <w:jc w:val="center"/>
        <w:rPr>
          <w:rFonts w:ascii="Courier New" w:hAnsi="Courier New" w:cs="Courier New"/>
          <w:sz w:val="24"/>
          <w:szCs w:val="24"/>
        </w:rPr>
      </w:pPr>
    </w:p>
    <w:p w14:paraId="3047F7E8" w14:textId="77777777" w:rsidR="009A1040" w:rsidRDefault="009A1040" w:rsidP="00982BCF">
      <w:pPr>
        <w:rPr>
          <w:rFonts w:ascii="Arial" w:hAnsi="Arial" w:cs="Arial"/>
          <w:sz w:val="24"/>
          <w:szCs w:val="24"/>
        </w:rPr>
      </w:pPr>
    </w:p>
    <w:p w14:paraId="53FE5932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5FB0ABCD" w14:textId="77777777" w:rsidR="00422DFD" w:rsidRPr="00982BCF" w:rsidRDefault="00422DFD" w:rsidP="009A1040">
      <w:pPr>
        <w:jc w:val="center"/>
        <w:rPr>
          <w:rFonts w:ascii="Arial" w:hAnsi="Arial" w:cs="Arial"/>
          <w:b/>
          <w:sz w:val="24"/>
          <w:szCs w:val="24"/>
        </w:rPr>
      </w:pPr>
      <w:r w:rsidRPr="00982BCF">
        <w:rPr>
          <w:rFonts w:ascii="Arial" w:hAnsi="Arial" w:cs="Arial"/>
          <w:b/>
          <w:sz w:val="24"/>
          <w:szCs w:val="24"/>
        </w:rPr>
        <w:t xml:space="preserve">UPUTE ZA IZRADU PRIJEDLOGA PRORAČUNA I </w:t>
      </w:r>
    </w:p>
    <w:p w14:paraId="17BBD31B" w14:textId="77777777" w:rsidR="009A1040" w:rsidRPr="00982BCF" w:rsidRDefault="00422DFD" w:rsidP="009A1040">
      <w:pPr>
        <w:jc w:val="center"/>
        <w:rPr>
          <w:rFonts w:ascii="Arial" w:hAnsi="Arial" w:cs="Arial"/>
          <w:b/>
          <w:sz w:val="24"/>
          <w:szCs w:val="24"/>
        </w:rPr>
      </w:pPr>
      <w:r w:rsidRPr="00982BCF">
        <w:rPr>
          <w:rFonts w:ascii="Arial" w:hAnsi="Arial" w:cs="Arial"/>
          <w:b/>
          <w:sz w:val="24"/>
          <w:szCs w:val="24"/>
        </w:rPr>
        <w:t xml:space="preserve">FINANCIJSKOG PLANA PRORAČUNSKIH KORISNIKA </w:t>
      </w:r>
    </w:p>
    <w:p w14:paraId="1B9E8169" w14:textId="77777777" w:rsidR="00422DFD" w:rsidRPr="00982BCF" w:rsidRDefault="00422DFD" w:rsidP="009A1040">
      <w:pPr>
        <w:jc w:val="center"/>
        <w:rPr>
          <w:rFonts w:ascii="Arial" w:hAnsi="Arial" w:cs="Arial"/>
          <w:b/>
          <w:sz w:val="24"/>
          <w:szCs w:val="24"/>
        </w:rPr>
      </w:pPr>
    </w:p>
    <w:p w14:paraId="2AD76161" w14:textId="77777777" w:rsidR="00422DFD" w:rsidRPr="00982BCF" w:rsidRDefault="00422DFD" w:rsidP="009A1040">
      <w:pPr>
        <w:jc w:val="center"/>
        <w:rPr>
          <w:rFonts w:ascii="Arial" w:hAnsi="Arial" w:cs="Arial"/>
          <w:b/>
          <w:sz w:val="24"/>
          <w:szCs w:val="24"/>
        </w:rPr>
      </w:pPr>
      <w:r w:rsidRPr="00982BCF">
        <w:rPr>
          <w:rFonts w:ascii="Arial" w:hAnsi="Arial" w:cs="Arial"/>
          <w:b/>
          <w:sz w:val="24"/>
          <w:szCs w:val="24"/>
        </w:rPr>
        <w:t>GRADA GAREŠNICA</w:t>
      </w:r>
    </w:p>
    <w:p w14:paraId="23BF7D9D" w14:textId="77777777" w:rsidR="00422DFD" w:rsidRPr="00982BCF" w:rsidRDefault="00422DFD" w:rsidP="009A1040">
      <w:pPr>
        <w:jc w:val="center"/>
        <w:rPr>
          <w:rFonts w:ascii="Arial" w:hAnsi="Arial" w:cs="Arial"/>
          <w:b/>
          <w:sz w:val="24"/>
          <w:szCs w:val="24"/>
        </w:rPr>
      </w:pPr>
    </w:p>
    <w:p w14:paraId="0442AC6E" w14:textId="19A05175" w:rsidR="00422DFD" w:rsidRPr="00982BCF" w:rsidRDefault="005B13C9" w:rsidP="009A10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RAZDOBLJE 20</w:t>
      </w:r>
      <w:r w:rsidR="00743989">
        <w:rPr>
          <w:rFonts w:ascii="Arial" w:hAnsi="Arial" w:cs="Arial"/>
          <w:b/>
          <w:sz w:val="24"/>
          <w:szCs w:val="24"/>
        </w:rPr>
        <w:t>2</w:t>
      </w:r>
      <w:r w:rsidR="00C63FAD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 – 20</w:t>
      </w:r>
      <w:r w:rsidR="00743989">
        <w:rPr>
          <w:rFonts w:ascii="Arial" w:hAnsi="Arial" w:cs="Arial"/>
          <w:b/>
          <w:sz w:val="24"/>
          <w:szCs w:val="24"/>
        </w:rPr>
        <w:t>2</w:t>
      </w:r>
      <w:r w:rsidR="00C63FAD">
        <w:rPr>
          <w:rFonts w:ascii="Arial" w:hAnsi="Arial" w:cs="Arial"/>
          <w:b/>
          <w:sz w:val="24"/>
          <w:szCs w:val="24"/>
        </w:rPr>
        <w:t>4</w:t>
      </w:r>
      <w:r w:rsidR="00422DFD" w:rsidRPr="00982BCF">
        <w:rPr>
          <w:rFonts w:ascii="Arial" w:hAnsi="Arial" w:cs="Arial"/>
          <w:b/>
          <w:sz w:val="24"/>
          <w:szCs w:val="24"/>
        </w:rPr>
        <w:t>.</w:t>
      </w:r>
    </w:p>
    <w:p w14:paraId="0CDDBAE0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3156DEB8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6CAB0D49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79299E8E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4CB4A34C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48E9823C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413619A7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5382FE0C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6358FF27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6841717A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31AB4E41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13E5F3E6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77CA81B0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2EDE338D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1D6C7062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64201001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3D12DD3E" w14:textId="77777777" w:rsidR="009A1040" w:rsidRDefault="009A1040" w:rsidP="009A1040">
      <w:pPr>
        <w:jc w:val="center"/>
        <w:rPr>
          <w:rFonts w:ascii="Arial" w:hAnsi="Arial" w:cs="Arial"/>
          <w:sz w:val="24"/>
          <w:szCs w:val="24"/>
        </w:rPr>
      </w:pPr>
    </w:p>
    <w:p w14:paraId="17BE5610" w14:textId="77777777" w:rsidR="00982BCF" w:rsidRDefault="00982BCF" w:rsidP="009A1040">
      <w:pPr>
        <w:jc w:val="center"/>
        <w:rPr>
          <w:rFonts w:ascii="Arial" w:hAnsi="Arial" w:cs="Arial"/>
          <w:sz w:val="24"/>
          <w:szCs w:val="24"/>
        </w:rPr>
      </w:pPr>
    </w:p>
    <w:p w14:paraId="7BF862AD" w14:textId="77777777" w:rsidR="00982BCF" w:rsidRDefault="00982BCF" w:rsidP="009A1040">
      <w:pPr>
        <w:jc w:val="center"/>
        <w:rPr>
          <w:rFonts w:ascii="Arial" w:hAnsi="Arial" w:cs="Arial"/>
          <w:sz w:val="24"/>
          <w:szCs w:val="24"/>
        </w:rPr>
      </w:pPr>
    </w:p>
    <w:p w14:paraId="02EE6FE7" w14:textId="77777777" w:rsidR="00982BCF" w:rsidRDefault="00982BCF" w:rsidP="009A1040">
      <w:pPr>
        <w:jc w:val="center"/>
        <w:rPr>
          <w:rFonts w:ascii="Arial" w:hAnsi="Arial" w:cs="Arial"/>
          <w:sz w:val="24"/>
          <w:szCs w:val="24"/>
        </w:rPr>
      </w:pPr>
    </w:p>
    <w:p w14:paraId="10479782" w14:textId="77777777" w:rsidR="00982BCF" w:rsidRDefault="00982BCF" w:rsidP="009A1040">
      <w:pPr>
        <w:jc w:val="center"/>
        <w:rPr>
          <w:rFonts w:ascii="Arial" w:hAnsi="Arial" w:cs="Arial"/>
          <w:sz w:val="24"/>
          <w:szCs w:val="24"/>
        </w:rPr>
      </w:pPr>
    </w:p>
    <w:p w14:paraId="258C1E9D" w14:textId="77777777" w:rsidR="009A1040" w:rsidRDefault="009A1040" w:rsidP="00422DFD">
      <w:pPr>
        <w:rPr>
          <w:rFonts w:ascii="Arial" w:hAnsi="Arial" w:cs="Arial"/>
          <w:sz w:val="24"/>
          <w:szCs w:val="24"/>
        </w:rPr>
      </w:pPr>
    </w:p>
    <w:p w14:paraId="0B7F22FD" w14:textId="417AE1CC" w:rsidR="009A1040" w:rsidRPr="00F90D0C" w:rsidRDefault="00422DFD" w:rsidP="009A1040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F90D0C">
        <w:rPr>
          <w:rFonts w:ascii="Arial" w:hAnsi="Arial" w:cs="Arial"/>
        </w:rPr>
        <w:t xml:space="preserve">Garešnica, </w:t>
      </w:r>
      <w:proofErr w:type="spellStart"/>
      <w:r w:rsidR="002D33D6">
        <w:rPr>
          <w:rFonts w:ascii="Arial" w:hAnsi="Arial" w:cs="Arial"/>
        </w:rPr>
        <w:t>rujan</w:t>
      </w:r>
      <w:proofErr w:type="spellEnd"/>
      <w:r w:rsidR="002D33D6">
        <w:rPr>
          <w:rFonts w:ascii="Arial" w:hAnsi="Arial" w:cs="Arial"/>
        </w:rPr>
        <w:t xml:space="preserve"> 202</w:t>
      </w:r>
      <w:r w:rsidR="00E23D01">
        <w:rPr>
          <w:rFonts w:ascii="Arial" w:hAnsi="Arial" w:cs="Arial"/>
        </w:rPr>
        <w:t>1</w:t>
      </w:r>
      <w:r w:rsidR="002D33D6">
        <w:rPr>
          <w:rFonts w:ascii="Arial" w:hAnsi="Arial" w:cs="Arial"/>
        </w:rPr>
        <w:t>.</w:t>
      </w:r>
    </w:p>
    <w:p w14:paraId="276DEEFF" w14:textId="77777777" w:rsidR="008E5DD2" w:rsidRDefault="008E5DD2" w:rsidP="008E5DD2">
      <w:pPr>
        <w:jc w:val="both"/>
        <w:rPr>
          <w:rFonts w:ascii="Arial" w:hAnsi="Arial" w:cs="Arial"/>
          <w:sz w:val="16"/>
          <w:szCs w:val="16"/>
        </w:rPr>
      </w:pPr>
    </w:p>
    <w:p w14:paraId="3F76711F" w14:textId="77777777" w:rsidR="008E5DD2" w:rsidRDefault="008E5DD2" w:rsidP="008E5DD2">
      <w:pPr>
        <w:jc w:val="both"/>
        <w:rPr>
          <w:rFonts w:ascii="Arial" w:hAnsi="Arial" w:cs="Arial"/>
          <w:sz w:val="16"/>
          <w:szCs w:val="16"/>
        </w:rPr>
      </w:pPr>
    </w:p>
    <w:p w14:paraId="3DDE8CDA" w14:textId="77777777" w:rsidR="008E5DD2" w:rsidRDefault="008E5DD2" w:rsidP="008E5DD2">
      <w:pPr>
        <w:jc w:val="both"/>
        <w:rPr>
          <w:rFonts w:ascii="Arial" w:hAnsi="Arial" w:cs="Arial"/>
          <w:sz w:val="16"/>
          <w:szCs w:val="16"/>
        </w:rPr>
      </w:pPr>
    </w:p>
    <w:p w14:paraId="1DCE51D4" w14:textId="77777777" w:rsidR="008E5DD2" w:rsidRDefault="008E5DD2" w:rsidP="008E5DD2">
      <w:pPr>
        <w:jc w:val="both"/>
        <w:rPr>
          <w:rFonts w:ascii="Arial" w:hAnsi="Arial" w:cs="Arial"/>
          <w:sz w:val="16"/>
          <w:szCs w:val="16"/>
        </w:rPr>
      </w:pPr>
    </w:p>
    <w:p w14:paraId="0F25E233" w14:textId="77777777" w:rsidR="008E5DD2" w:rsidRDefault="008E5DD2" w:rsidP="008E5DD2">
      <w:pPr>
        <w:jc w:val="both"/>
        <w:rPr>
          <w:rFonts w:ascii="Arial" w:hAnsi="Arial" w:cs="Arial"/>
          <w:sz w:val="16"/>
          <w:szCs w:val="16"/>
        </w:rPr>
      </w:pPr>
    </w:p>
    <w:p w14:paraId="3B636A23" w14:textId="77777777" w:rsidR="008E5DD2" w:rsidRDefault="008E5DD2" w:rsidP="008E5DD2">
      <w:pPr>
        <w:jc w:val="both"/>
        <w:rPr>
          <w:rFonts w:ascii="Arial" w:hAnsi="Arial" w:cs="Arial"/>
          <w:sz w:val="16"/>
          <w:szCs w:val="16"/>
        </w:rPr>
      </w:pPr>
    </w:p>
    <w:p w14:paraId="6FEB8F9D" w14:textId="77777777" w:rsidR="008E5DD2" w:rsidRDefault="008E5DD2" w:rsidP="008E5DD2">
      <w:pPr>
        <w:jc w:val="both"/>
        <w:rPr>
          <w:rFonts w:ascii="Arial" w:hAnsi="Arial" w:cs="Arial"/>
          <w:sz w:val="16"/>
          <w:szCs w:val="16"/>
        </w:rPr>
      </w:pPr>
    </w:p>
    <w:p w14:paraId="3AF15E24" w14:textId="77777777" w:rsidR="008E5DD2" w:rsidRDefault="008E5DD2" w:rsidP="008E5DD2">
      <w:pPr>
        <w:jc w:val="both"/>
        <w:rPr>
          <w:rFonts w:ascii="Arial" w:hAnsi="Arial" w:cs="Arial"/>
          <w:sz w:val="16"/>
          <w:szCs w:val="16"/>
        </w:rPr>
      </w:pPr>
    </w:p>
    <w:p w14:paraId="58B55854" w14:textId="77777777" w:rsidR="008E5DD2" w:rsidRDefault="008E5DD2" w:rsidP="008E5DD2">
      <w:pPr>
        <w:jc w:val="both"/>
        <w:rPr>
          <w:rFonts w:ascii="Arial" w:hAnsi="Arial" w:cs="Arial"/>
          <w:sz w:val="16"/>
          <w:szCs w:val="16"/>
        </w:rPr>
      </w:pPr>
    </w:p>
    <w:p w14:paraId="400A72C5" w14:textId="77777777" w:rsidR="00584282" w:rsidRPr="008E5DD2" w:rsidRDefault="00DB526F" w:rsidP="008E5DD2">
      <w:pPr>
        <w:jc w:val="center"/>
        <w:rPr>
          <w:rFonts w:ascii="Arial" w:hAnsi="Arial" w:cs="Arial"/>
          <w:sz w:val="16"/>
          <w:szCs w:val="16"/>
        </w:rPr>
      </w:pPr>
      <w:r w:rsidRPr="00AE3F9D">
        <w:rPr>
          <w:rFonts w:ascii="Arial" w:hAnsi="Arial" w:cs="Arial"/>
          <w:b/>
          <w:sz w:val="24"/>
          <w:szCs w:val="24"/>
        </w:rPr>
        <w:lastRenderedPageBreak/>
        <w:t>U</w:t>
      </w:r>
      <w:r w:rsidR="00444FD7">
        <w:rPr>
          <w:rFonts w:ascii="Arial" w:hAnsi="Arial" w:cs="Arial"/>
          <w:b/>
          <w:sz w:val="24"/>
          <w:szCs w:val="24"/>
        </w:rPr>
        <w:t xml:space="preserve"> </w:t>
      </w:r>
      <w:r w:rsidRPr="00AE3F9D">
        <w:rPr>
          <w:rFonts w:ascii="Arial" w:hAnsi="Arial" w:cs="Arial"/>
          <w:b/>
          <w:sz w:val="24"/>
          <w:szCs w:val="24"/>
        </w:rPr>
        <w:t>V</w:t>
      </w:r>
      <w:r w:rsidR="00444FD7">
        <w:rPr>
          <w:rFonts w:ascii="Arial" w:hAnsi="Arial" w:cs="Arial"/>
          <w:b/>
          <w:sz w:val="24"/>
          <w:szCs w:val="24"/>
        </w:rPr>
        <w:t xml:space="preserve"> </w:t>
      </w:r>
      <w:r w:rsidRPr="00AE3F9D">
        <w:rPr>
          <w:rFonts w:ascii="Arial" w:hAnsi="Arial" w:cs="Arial"/>
          <w:b/>
          <w:sz w:val="24"/>
          <w:szCs w:val="24"/>
        </w:rPr>
        <w:t>O</w:t>
      </w:r>
      <w:r w:rsidR="00444FD7">
        <w:rPr>
          <w:rFonts w:ascii="Arial" w:hAnsi="Arial" w:cs="Arial"/>
          <w:b/>
          <w:sz w:val="24"/>
          <w:szCs w:val="24"/>
        </w:rPr>
        <w:t xml:space="preserve"> </w:t>
      </w:r>
      <w:r w:rsidRPr="00AE3F9D">
        <w:rPr>
          <w:rFonts w:ascii="Arial" w:hAnsi="Arial" w:cs="Arial"/>
          <w:b/>
          <w:sz w:val="24"/>
          <w:szCs w:val="24"/>
        </w:rPr>
        <w:t>D</w:t>
      </w:r>
    </w:p>
    <w:p w14:paraId="6BE1CAC0" w14:textId="77777777" w:rsidR="00DB526F" w:rsidRDefault="00DB526F" w:rsidP="00584282">
      <w:pPr>
        <w:jc w:val="center"/>
        <w:rPr>
          <w:rFonts w:ascii="Arial" w:hAnsi="Arial" w:cs="Arial"/>
          <w:b/>
        </w:rPr>
      </w:pPr>
    </w:p>
    <w:p w14:paraId="502C2A20" w14:textId="77777777" w:rsidR="00AE3F9D" w:rsidRDefault="00AE3F9D" w:rsidP="00584282">
      <w:pPr>
        <w:jc w:val="center"/>
        <w:rPr>
          <w:rFonts w:ascii="Arial" w:hAnsi="Arial" w:cs="Arial"/>
          <w:b/>
        </w:rPr>
      </w:pPr>
    </w:p>
    <w:p w14:paraId="4958E990" w14:textId="77777777" w:rsidR="00AE3F9D" w:rsidRDefault="00AE3F9D" w:rsidP="00584282">
      <w:pPr>
        <w:jc w:val="center"/>
        <w:rPr>
          <w:rFonts w:ascii="Arial" w:hAnsi="Arial" w:cs="Arial"/>
          <w:b/>
        </w:rPr>
      </w:pPr>
    </w:p>
    <w:p w14:paraId="73050E47" w14:textId="77777777" w:rsidR="00DB526F" w:rsidRDefault="00DB526F" w:rsidP="00F90D0C">
      <w:pPr>
        <w:ind w:firstLine="567"/>
        <w:jc w:val="both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</w:rPr>
        <w:t>Sukladno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članku</w:t>
      </w:r>
      <w:proofErr w:type="spellEnd"/>
      <w:r>
        <w:rPr>
          <w:rFonts w:ascii="Arial" w:hAnsi="Arial" w:cs="Arial"/>
        </w:rPr>
        <w:t xml:space="preserve"> 27.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proračunu</w:t>
      </w:r>
      <w:proofErr w:type="spellEnd"/>
      <w:r w:rsidR="00F90D0C">
        <w:rPr>
          <w:rFonts w:ascii="Arial" w:hAnsi="Arial" w:cs="Arial"/>
        </w:rPr>
        <w:t xml:space="preserve"> </w:t>
      </w:r>
      <w:r w:rsidR="00F90D0C">
        <w:rPr>
          <w:rFonts w:ascii="Arial" w:hAnsi="Arial" w:cs="Arial"/>
          <w:lang w:val="hr-HR"/>
        </w:rPr>
        <w:t>(Narodne novine, broj 87/08, 136/12 i 15/15) potrebno je donijeti Upute za izradu proračuna jedinica lokalne i područne samouprave koje se dostavljaju proračunskim i izvanproračunskim korisnicima jedinica lokalne i područne samouprave kojima se određuje da sastavni dio proračuna čine i financijski planovi korisnika koji moraju biti sastavljeni na isti način i sa istim sastavnim elementima kao i proračun.</w:t>
      </w:r>
    </w:p>
    <w:p w14:paraId="2401B93F" w14:textId="77777777" w:rsidR="00F90D0C" w:rsidRDefault="00F90D0C" w:rsidP="00F90D0C">
      <w:pPr>
        <w:ind w:firstLine="567"/>
        <w:jc w:val="both"/>
        <w:rPr>
          <w:rFonts w:ascii="Arial" w:hAnsi="Arial" w:cs="Arial"/>
          <w:lang w:val="hr-HR"/>
        </w:rPr>
      </w:pPr>
    </w:p>
    <w:p w14:paraId="712C7EAD" w14:textId="0BE45B7E" w:rsidR="00F90D0C" w:rsidRDefault="007130AA" w:rsidP="00F90D0C">
      <w:pPr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</w:t>
      </w:r>
      <w:r w:rsidR="0018390E">
        <w:rPr>
          <w:rFonts w:ascii="Arial" w:hAnsi="Arial" w:cs="Arial"/>
          <w:lang w:val="hr-HR"/>
        </w:rPr>
        <w:t xml:space="preserve"> skladu s odredbama Zakona o proračunu</w:t>
      </w:r>
      <w:r>
        <w:rPr>
          <w:rFonts w:ascii="Arial" w:hAnsi="Arial" w:cs="Arial"/>
          <w:lang w:val="hr-HR"/>
        </w:rPr>
        <w:t>, a na temelju Smjernica ekonomske i fiskalne politike za razdoblje 202</w:t>
      </w:r>
      <w:r w:rsidR="004E4ED3">
        <w:rPr>
          <w:rFonts w:ascii="Arial" w:hAnsi="Arial" w:cs="Arial"/>
          <w:lang w:val="hr-HR"/>
        </w:rPr>
        <w:t>2</w:t>
      </w:r>
      <w:r>
        <w:rPr>
          <w:rFonts w:ascii="Arial" w:hAnsi="Arial" w:cs="Arial"/>
          <w:lang w:val="hr-HR"/>
        </w:rPr>
        <w:t>. – 202</w:t>
      </w:r>
      <w:r w:rsidR="004E4ED3">
        <w:rPr>
          <w:rFonts w:ascii="Arial" w:hAnsi="Arial" w:cs="Arial"/>
          <w:lang w:val="hr-HR"/>
        </w:rPr>
        <w:t>4</w:t>
      </w:r>
      <w:r>
        <w:rPr>
          <w:rFonts w:ascii="Arial" w:hAnsi="Arial" w:cs="Arial"/>
          <w:lang w:val="hr-HR"/>
        </w:rPr>
        <w:t xml:space="preserve">. </w:t>
      </w:r>
      <w:r w:rsidR="00F90D0C">
        <w:rPr>
          <w:rFonts w:ascii="Arial" w:hAnsi="Arial" w:cs="Arial"/>
          <w:lang w:val="hr-HR"/>
        </w:rPr>
        <w:t>Ministarstvo financija sastavilo je Uputu za izradu proračuna jedinica lokalne i podru</w:t>
      </w:r>
      <w:r w:rsidR="005B13C9">
        <w:rPr>
          <w:rFonts w:ascii="Arial" w:hAnsi="Arial" w:cs="Arial"/>
          <w:lang w:val="hr-HR"/>
        </w:rPr>
        <w:t>čne samouprave za razdoblje 20</w:t>
      </w:r>
      <w:r w:rsidR="0018390E">
        <w:rPr>
          <w:rFonts w:ascii="Arial" w:hAnsi="Arial" w:cs="Arial"/>
          <w:lang w:val="hr-HR"/>
        </w:rPr>
        <w:t>2</w:t>
      </w:r>
      <w:r w:rsidR="004E4ED3">
        <w:rPr>
          <w:rFonts w:ascii="Arial" w:hAnsi="Arial" w:cs="Arial"/>
          <w:lang w:val="hr-HR"/>
        </w:rPr>
        <w:t>2</w:t>
      </w:r>
      <w:r w:rsidR="005B13C9">
        <w:rPr>
          <w:rFonts w:ascii="Arial" w:hAnsi="Arial" w:cs="Arial"/>
          <w:lang w:val="hr-HR"/>
        </w:rPr>
        <w:t>. -20</w:t>
      </w:r>
      <w:r w:rsidR="0018390E">
        <w:rPr>
          <w:rFonts w:ascii="Arial" w:hAnsi="Arial" w:cs="Arial"/>
          <w:lang w:val="hr-HR"/>
        </w:rPr>
        <w:t>2</w:t>
      </w:r>
      <w:r w:rsidR="004E4ED3">
        <w:rPr>
          <w:rFonts w:ascii="Arial" w:hAnsi="Arial" w:cs="Arial"/>
          <w:lang w:val="hr-HR"/>
        </w:rPr>
        <w:t>4</w:t>
      </w:r>
      <w:r w:rsidR="00F90D0C">
        <w:rPr>
          <w:rFonts w:ascii="Arial" w:hAnsi="Arial" w:cs="Arial"/>
          <w:lang w:val="hr-HR"/>
        </w:rPr>
        <w:t>. godine</w:t>
      </w:r>
      <w:r>
        <w:rPr>
          <w:rFonts w:ascii="Arial" w:hAnsi="Arial" w:cs="Arial"/>
          <w:lang w:val="hr-HR"/>
        </w:rPr>
        <w:t>.</w:t>
      </w:r>
      <w:r w:rsidR="00F90D0C">
        <w:rPr>
          <w:rFonts w:ascii="Arial" w:hAnsi="Arial" w:cs="Arial"/>
          <w:lang w:val="hr-HR"/>
        </w:rPr>
        <w:t xml:space="preserve"> </w:t>
      </w:r>
    </w:p>
    <w:p w14:paraId="5304960D" w14:textId="77777777" w:rsidR="00233529" w:rsidRDefault="00233529" w:rsidP="00F90D0C">
      <w:pPr>
        <w:ind w:firstLine="567"/>
        <w:jc w:val="both"/>
        <w:rPr>
          <w:rFonts w:ascii="Arial" w:hAnsi="Arial" w:cs="Arial"/>
          <w:lang w:val="hr-HR"/>
        </w:rPr>
      </w:pPr>
    </w:p>
    <w:p w14:paraId="71FD5D71" w14:textId="2B141105" w:rsidR="00F90D0C" w:rsidRDefault="00F90D0C" w:rsidP="00F90D0C">
      <w:pPr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Metodologija za izradu prijedloga financijskog plana, odnos</w:t>
      </w:r>
      <w:r w:rsidR="00233529">
        <w:rPr>
          <w:rFonts w:ascii="Arial" w:hAnsi="Arial" w:cs="Arial"/>
          <w:lang w:val="hr-HR"/>
        </w:rPr>
        <w:t>no proračuna jedinice lokalne i područne (regionalne) samouprave propisana je Zakonom o proračunu i podzakonskim aktima kojima se regulira provedba Zakona, ponajprije Pravilnikom o proračunskim klasifikacijama (Narodne novine broj 26/10, 120/13</w:t>
      </w:r>
      <w:r w:rsidR="009F7C3C">
        <w:rPr>
          <w:rFonts w:ascii="Arial" w:hAnsi="Arial" w:cs="Arial"/>
          <w:lang w:val="hr-HR"/>
        </w:rPr>
        <w:t xml:space="preserve"> i 1/20</w:t>
      </w:r>
      <w:r w:rsidR="00233529">
        <w:rPr>
          <w:rFonts w:ascii="Arial" w:hAnsi="Arial" w:cs="Arial"/>
          <w:lang w:val="hr-HR"/>
        </w:rPr>
        <w:t>)</w:t>
      </w:r>
      <w:r w:rsidR="00B331F9">
        <w:rPr>
          <w:rFonts w:ascii="Arial" w:hAnsi="Arial" w:cs="Arial"/>
          <w:lang w:val="hr-HR"/>
        </w:rPr>
        <w:t>,</w:t>
      </w:r>
      <w:r w:rsidR="00233529">
        <w:rPr>
          <w:rFonts w:ascii="Arial" w:hAnsi="Arial" w:cs="Arial"/>
          <w:lang w:val="hr-HR"/>
        </w:rPr>
        <w:t xml:space="preserve"> Pravilnikom o proračunskom računovodstvu i Računskom planu (Narodne novine, broj 124/14</w:t>
      </w:r>
      <w:r w:rsidR="007130AA">
        <w:rPr>
          <w:rFonts w:ascii="Arial" w:hAnsi="Arial" w:cs="Arial"/>
          <w:lang w:val="hr-HR"/>
        </w:rPr>
        <w:t>, 115/15, 87/16</w:t>
      </w:r>
      <w:r w:rsidR="009F7C3C">
        <w:rPr>
          <w:rFonts w:ascii="Arial" w:hAnsi="Arial" w:cs="Arial"/>
          <w:lang w:val="hr-HR"/>
        </w:rPr>
        <w:t xml:space="preserve">, </w:t>
      </w:r>
      <w:r w:rsidR="007130AA">
        <w:rPr>
          <w:rFonts w:ascii="Arial" w:hAnsi="Arial" w:cs="Arial"/>
          <w:lang w:val="hr-HR"/>
        </w:rPr>
        <w:t>3/18</w:t>
      </w:r>
      <w:r w:rsidR="004E4ED3">
        <w:rPr>
          <w:rFonts w:ascii="Arial" w:hAnsi="Arial" w:cs="Arial"/>
          <w:lang w:val="hr-HR"/>
        </w:rPr>
        <w:t>,</w:t>
      </w:r>
      <w:r w:rsidR="009F7C3C">
        <w:rPr>
          <w:rFonts w:ascii="Arial" w:hAnsi="Arial" w:cs="Arial"/>
          <w:lang w:val="hr-HR"/>
        </w:rPr>
        <w:t xml:space="preserve"> 126/19</w:t>
      </w:r>
      <w:r w:rsidR="004E4ED3">
        <w:rPr>
          <w:rFonts w:ascii="Arial" w:hAnsi="Arial" w:cs="Arial"/>
          <w:lang w:val="hr-HR"/>
        </w:rPr>
        <w:t xml:space="preserve"> i 108/20</w:t>
      </w:r>
      <w:r w:rsidR="00233529">
        <w:rPr>
          <w:rFonts w:ascii="Arial" w:hAnsi="Arial" w:cs="Arial"/>
          <w:lang w:val="hr-HR"/>
        </w:rPr>
        <w:t>)</w:t>
      </w:r>
      <w:r w:rsidR="00B331F9">
        <w:rPr>
          <w:rFonts w:ascii="Arial" w:hAnsi="Arial" w:cs="Arial"/>
          <w:lang w:val="hr-HR"/>
        </w:rPr>
        <w:t>, te Uputama Ministarstva financija za izradu proračuna jedinica lokalne i područne (regionalne) samouprave.</w:t>
      </w:r>
    </w:p>
    <w:p w14:paraId="1FF6A766" w14:textId="77777777" w:rsidR="00997B70" w:rsidRDefault="00997B70" w:rsidP="00F90D0C">
      <w:pPr>
        <w:ind w:firstLine="567"/>
        <w:jc w:val="both"/>
        <w:rPr>
          <w:rFonts w:ascii="Arial" w:hAnsi="Arial" w:cs="Arial"/>
          <w:lang w:val="hr-HR"/>
        </w:rPr>
      </w:pPr>
    </w:p>
    <w:p w14:paraId="5480A488" w14:textId="7B3E28DB" w:rsidR="00233529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 xml:space="preserve">Važnost procesa planiranja prepoznata je i u kontekstu davanja Izjave o fiskalnoj odgovornosti temeljem Zakona o fiskalnoj odgovornosti (Narodne novine, broj </w:t>
      </w:r>
      <w:r w:rsidR="00034BB0">
        <w:rPr>
          <w:rFonts w:ascii="Arial" w:hAnsi="Arial" w:cs="Arial"/>
          <w:lang w:val="hr-HR"/>
        </w:rPr>
        <w:t>111/18</w:t>
      </w:r>
      <w:r>
        <w:rPr>
          <w:rFonts w:ascii="Arial" w:hAnsi="Arial" w:cs="Arial"/>
          <w:lang w:val="hr-HR"/>
        </w:rPr>
        <w:t xml:space="preserve">) i Uredbi o sastavljanju i predaji izjave o fiskalnoj odgovornosti i izvještaja o primjeni fiskalnih pravila (Narodne novine, broj </w:t>
      </w:r>
      <w:r w:rsidR="009F7C3C">
        <w:rPr>
          <w:rFonts w:ascii="Arial" w:hAnsi="Arial" w:cs="Arial"/>
          <w:lang w:val="hr-HR"/>
        </w:rPr>
        <w:t>95/19</w:t>
      </w:r>
      <w:r w:rsidRPr="00997B70">
        <w:rPr>
          <w:rFonts w:ascii="Arial" w:hAnsi="Arial" w:cs="Arial"/>
          <w:bCs/>
          <w:lang w:val="hr-HR"/>
        </w:rPr>
        <w:t>).</w:t>
      </w:r>
    </w:p>
    <w:p w14:paraId="6634E340" w14:textId="77777777" w:rsidR="00997B70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15FEF308" w14:textId="77777777" w:rsidR="00997B70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Čelnik jedinice lokalne i područne (regionalne) samouprave odnosno proračunskog i izvanproračunskog korisnika odgovoran je za zakonito i pravilno planiranje i izvršavanje proračuna odnosno financijskog plana i za svrhovitost, učinkovitost i za ekonomično raspolaganje proračunskim sredstvima proračuna odnosno financijskog plana.</w:t>
      </w:r>
    </w:p>
    <w:p w14:paraId="70BE3925" w14:textId="77777777" w:rsidR="00444FD7" w:rsidRDefault="00444FD7" w:rsidP="005B13C9">
      <w:pPr>
        <w:jc w:val="both"/>
        <w:rPr>
          <w:rFonts w:ascii="Arial" w:hAnsi="Arial" w:cs="Arial"/>
          <w:bCs/>
          <w:lang w:val="hr-HR"/>
        </w:rPr>
      </w:pPr>
    </w:p>
    <w:p w14:paraId="4CA325F8" w14:textId="55306AC1" w:rsidR="00A2273C" w:rsidRDefault="00A2273C" w:rsidP="00F90D0C">
      <w:pPr>
        <w:ind w:firstLine="567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Upute sadrže:</w:t>
      </w:r>
    </w:p>
    <w:p w14:paraId="29F479BB" w14:textId="77777777" w:rsidR="00A2273C" w:rsidRDefault="00A2273C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22EEBE39" w14:textId="77777777" w:rsidR="00444FD7" w:rsidRDefault="00444FD7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3C044887" w14:textId="5633351F" w:rsidR="00A2273C" w:rsidRPr="00A2273C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A2273C">
        <w:rPr>
          <w:rFonts w:ascii="Arial" w:hAnsi="Arial" w:cs="Arial"/>
          <w:bCs/>
          <w:lang w:val="hr-HR"/>
        </w:rPr>
        <w:t xml:space="preserve">Temeljna ekonomska ishodišta i pretpostavke za izradu prijedloga proračuna </w:t>
      </w:r>
      <w:proofErr w:type="spellStart"/>
      <w:r w:rsidRPr="00A2273C">
        <w:rPr>
          <w:rFonts w:ascii="Arial" w:hAnsi="Arial" w:cs="Arial"/>
          <w:bCs/>
          <w:lang w:val="hr-HR"/>
        </w:rPr>
        <w:t>jedninica</w:t>
      </w:r>
      <w:proofErr w:type="spellEnd"/>
      <w:r w:rsidRPr="00A2273C">
        <w:rPr>
          <w:rFonts w:ascii="Arial" w:hAnsi="Arial" w:cs="Arial"/>
          <w:bCs/>
          <w:lang w:val="hr-HR"/>
        </w:rPr>
        <w:t xml:space="preserve"> lokalne i područne (regional</w:t>
      </w:r>
      <w:r w:rsidR="0083059C">
        <w:rPr>
          <w:rFonts w:ascii="Arial" w:hAnsi="Arial" w:cs="Arial"/>
          <w:bCs/>
          <w:lang w:val="hr-HR"/>
        </w:rPr>
        <w:t>ne) samouprave za razdoblje 20</w:t>
      </w:r>
      <w:r w:rsidR="00034BB0">
        <w:rPr>
          <w:rFonts w:ascii="Arial" w:hAnsi="Arial" w:cs="Arial"/>
          <w:bCs/>
          <w:lang w:val="hr-HR"/>
        </w:rPr>
        <w:t>2</w:t>
      </w:r>
      <w:r w:rsidR="00B331F9">
        <w:rPr>
          <w:rFonts w:ascii="Arial" w:hAnsi="Arial" w:cs="Arial"/>
          <w:bCs/>
          <w:lang w:val="hr-HR"/>
        </w:rPr>
        <w:t>2</w:t>
      </w:r>
      <w:r w:rsidR="0083059C">
        <w:rPr>
          <w:rFonts w:ascii="Arial" w:hAnsi="Arial" w:cs="Arial"/>
          <w:bCs/>
          <w:lang w:val="hr-HR"/>
        </w:rPr>
        <w:t>. – 20</w:t>
      </w:r>
      <w:r w:rsidR="00034BB0">
        <w:rPr>
          <w:rFonts w:ascii="Arial" w:hAnsi="Arial" w:cs="Arial"/>
          <w:bCs/>
          <w:lang w:val="hr-HR"/>
        </w:rPr>
        <w:t>2</w:t>
      </w:r>
      <w:r w:rsidR="00B331F9">
        <w:rPr>
          <w:rFonts w:ascii="Arial" w:hAnsi="Arial" w:cs="Arial"/>
          <w:bCs/>
          <w:lang w:val="hr-HR"/>
        </w:rPr>
        <w:t>4</w:t>
      </w:r>
      <w:r w:rsidRPr="00A2273C">
        <w:rPr>
          <w:rFonts w:ascii="Arial" w:hAnsi="Arial" w:cs="Arial"/>
          <w:bCs/>
          <w:lang w:val="hr-HR"/>
        </w:rPr>
        <w:t>. godine,</w:t>
      </w:r>
    </w:p>
    <w:p w14:paraId="0B5F4940" w14:textId="77777777" w:rsidR="00A2273C" w:rsidRPr="00A2273C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Cs/>
          <w:lang w:val="hr-HR"/>
        </w:rPr>
        <w:t>Opis planiranih politika Grada Garešnica,</w:t>
      </w:r>
    </w:p>
    <w:p w14:paraId="6189C66F" w14:textId="77777777" w:rsidR="0081779E" w:rsidRPr="0081779E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Cs/>
          <w:lang w:val="hr-HR"/>
        </w:rPr>
        <w:t>Procjenu prihoda i rashoda te primitaka i izdataka Proračuna Grada Garešnica u slijedeće tri godine,</w:t>
      </w:r>
    </w:p>
    <w:p w14:paraId="7D8E7446" w14:textId="77777777" w:rsidR="0081779E" w:rsidRPr="0081779E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Cs/>
          <w:lang w:val="hr-HR"/>
        </w:rPr>
        <w:t>Visina financijskog plana po proračunskim korisnicima,</w:t>
      </w:r>
    </w:p>
    <w:p w14:paraId="3D7EC12A" w14:textId="3D694332" w:rsidR="00A2273C" w:rsidRPr="00D05F87" w:rsidRDefault="00A2273C" w:rsidP="00E24F1E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B331F9">
        <w:rPr>
          <w:rFonts w:ascii="Arial" w:hAnsi="Arial" w:cs="Arial"/>
          <w:bCs/>
          <w:lang w:val="hr-HR"/>
        </w:rPr>
        <w:t>Metodologija izrade prijedloga financijskog plana proračunskih korisnika JLP(R)S</w:t>
      </w:r>
      <w:r w:rsidR="00B331F9" w:rsidRPr="00B331F9">
        <w:rPr>
          <w:rFonts w:ascii="Arial" w:hAnsi="Arial" w:cs="Arial"/>
          <w:bCs/>
          <w:lang w:val="hr-HR"/>
        </w:rPr>
        <w:t xml:space="preserve">, sa šiframa i nazivima zajedničkih programa te aktivnosti i projekata </w:t>
      </w:r>
      <w:r w:rsidR="00B331F9">
        <w:rPr>
          <w:rFonts w:ascii="Arial" w:hAnsi="Arial" w:cs="Arial"/>
          <w:bCs/>
          <w:lang w:val="hr-HR"/>
        </w:rPr>
        <w:t>korisnika,</w:t>
      </w:r>
    </w:p>
    <w:p w14:paraId="0A43B7A0" w14:textId="7A533139" w:rsidR="00D05F87" w:rsidRPr="00B331F9" w:rsidRDefault="002A1ABD" w:rsidP="00E24F1E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Cs/>
          <w:lang w:val="hr-HR"/>
        </w:rPr>
        <w:t>Plan razvojnih programa,</w:t>
      </w:r>
    </w:p>
    <w:p w14:paraId="42C549AA" w14:textId="4A31E6E5" w:rsidR="005B1CD8" w:rsidRPr="00A2273C" w:rsidRDefault="00047084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Cs/>
          <w:lang w:val="hr-HR"/>
        </w:rPr>
        <w:t>Planiranje rashoda proračunskih korisnika u sklopu decentraliziranih funkcija</w:t>
      </w:r>
      <w:r w:rsidR="00C613D0">
        <w:rPr>
          <w:rFonts w:ascii="Arial" w:hAnsi="Arial" w:cs="Arial"/>
          <w:bCs/>
          <w:lang w:val="hr-HR"/>
        </w:rPr>
        <w:t>,</w:t>
      </w:r>
    </w:p>
    <w:p w14:paraId="25A7DDB2" w14:textId="77777777" w:rsidR="00C80E14" w:rsidRPr="00444FD7" w:rsidRDefault="005B1CD8" w:rsidP="00444FD7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2273C">
        <w:rPr>
          <w:rFonts w:ascii="Arial" w:hAnsi="Arial" w:cs="Arial"/>
        </w:rPr>
        <w:t xml:space="preserve">. </w:t>
      </w:r>
      <w:proofErr w:type="spellStart"/>
      <w:r w:rsidR="00A2273C">
        <w:rPr>
          <w:rFonts w:ascii="Arial" w:hAnsi="Arial" w:cs="Arial"/>
        </w:rPr>
        <w:t>Terminski</w:t>
      </w:r>
      <w:proofErr w:type="spellEnd"/>
      <w:r w:rsidR="00A2273C">
        <w:rPr>
          <w:rFonts w:ascii="Arial" w:hAnsi="Arial" w:cs="Arial"/>
        </w:rPr>
        <w:t xml:space="preserve"> plan za </w:t>
      </w:r>
      <w:proofErr w:type="spellStart"/>
      <w:r w:rsidR="00A2273C">
        <w:rPr>
          <w:rFonts w:ascii="Arial" w:hAnsi="Arial" w:cs="Arial"/>
        </w:rPr>
        <w:t>izradu</w:t>
      </w:r>
      <w:proofErr w:type="spellEnd"/>
      <w:r w:rsidR="00A2273C">
        <w:rPr>
          <w:rFonts w:ascii="Arial" w:hAnsi="Arial" w:cs="Arial"/>
        </w:rPr>
        <w:t xml:space="preserve"> </w:t>
      </w:r>
      <w:proofErr w:type="spellStart"/>
      <w:r w:rsidR="00A2273C">
        <w:rPr>
          <w:rFonts w:ascii="Arial" w:hAnsi="Arial" w:cs="Arial"/>
        </w:rPr>
        <w:t>proračuna</w:t>
      </w:r>
      <w:proofErr w:type="spellEnd"/>
      <w:r w:rsidR="00A2273C">
        <w:rPr>
          <w:rFonts w:ascii="Arial" w:hAnsi="Arial" w:cs="Arial"/>
        </w:rPr>
        <w:t xml:space="preserve"> </w:t>
      </w:r>
      <w:proofErr w:type="spellStart"/>
      <w:r w:rsidR="00A2273C">
        <w:rPr>
          <w:rFonts w:ascii="Arial" w:hAnsi="Arial" w:cs="Arial"/>
        </w:rPr>
        <w:t>i</w:t>
      </w:r>
      <w:proofErr w:type="spellEnd"/>
      <w:r w:rsidR="00A2273C">
        <w:rPr>
          <w:rFonts w:ascii="Arial" w:hAnsi="Arial" w:cs="Arial"/>
        </w:rPr>
        <w:t xml:space="preserve"> </w:t>
      </w:r>
      <w:proofErr w:type="spellStart"/>
      <w:r w:rsidR="00A2273C">
        <w:rPr>
          <w:rFonts w:ascii="Arial" w:hAnsi="Arial" w:cs="Arial"/>
        </w:rPr>
        <w:t>prijedloga</w:t>
      </w:r>
      <w:proofErr w:type="spellEnd"/>
      <w:r w:rsidR="00A2273C">
        <w:rPr>
          <w:rFonts w:ascii="Arial" w:hAnsi="Arial" w:cs="Arial"/>
        </w:rPr>
        <w:t xml:space="preserve"> </w:t>
      </w:r>
      <w:proofErr w:type="spellStart"/>
      <w:r w:rsidR="00A2273C">
        <w:rPr>
          <w:rFonts w:ascii="Arial" w:hAnsi="Arial" w:cs="Arial"/>
        </w:rPr>
        <w:t>financij</w:t>
      </w:r>
      <w:r w:rsidR="00444FD7">
        <w:rPr>
          <w:rFonts w:ascii="Arial" w:hAnsi="Arial" w:cs="Arial"/>
        </w:rPr>
        <w:t>skih</w:t>
      </w:r>
      <w:proofErr w:type="spellEnd"/>
      <w:r w:rsidR="00444FD7">
        <w:rPr>
          <w:rFonts w:ascii="Arial" w:hAnsi="Arial" w:cs="Arial"/>
        </w:rPr>
        <w:t xml:space="preserve"> </w:t>
      </w:r>
      <w:proofErr w:type="spellStart"/>
      <w:r w:rsidR="00444FD7">
        <w:rPr>
          <w:rFonts w:ascii="Arial" w:hAnsi="Arial" w:cs="Arial"/>
        </w:rPr>
        <w:t>planova</w:t>
      </w:r>
      <w:proofErr w:type="spellEnd"/>
      <w:r w:rsidR="00444FD7">
        <w:rPr>
          <w:rFonts w:ascii="Arial" w:hAnsi="Arial" w:cs="Arial"/>
        </w:rPr>
        <w:t xml:space="preserve"> </w:t>
      </w:r>
      <w:proofErr w:type="spellStart"/>
      <w:r w:rsidR="00444FD7">
        <w:rPr>
          <w:rFonts w:ascii="Arial" w:hAnsi="Arial" w:cs="Arial"/>
        </w:rPr>
        <w:t>korisnika</w:t>
      </w:r>
      <w:proofErr w:type="spellEnd"/>
      <w:r w:rsidR="00444FD7">
        <w:rPr>
          <w:rFonts w:ascii="Arial" w:hAnsi="Arial" w:cs="Arial"/>
        </w:rPr>
        <w:t xml:space="preserve"> </w:t>
      </w:r>
      <w:proofErr w:type="spellStart"/>
      <w:r w:rsidR="00444FD7">
        <w:rPr>
          <w:rFonts w:ascii="Arial" w:hAnsi="Arial" w:cs="Arial"/>
        </w:rPr>
        <w:t>proračuna</w:t>
      </w:r>
      <w:proofErr w:type="spellEnd"/>
    </w:p>
    <w:p w14:paraId="33F0AE76" w14:textId="789A5498" w:rsidR="00034BB0" w:rsidRDefault="00034BB0" w:rsidP="00AE3F9D">
      <w:pPr>
        <w:ind w:left="851" w:hanging="284"/>
        <w:jc w:val="center"/>
        <w:rPr>
          <w:rFonts w:ascii="Arial" w:hAnsi="Arial" w:cs="Arial"/>
          <w:b/>
        </w:rPr>
      </w:pPr>
    </w:p>
    <w:p w14:paraId="53AC3637" w14:textId="77777777" w:rsidR="008301BD" w:rsidRDefault="008301BD" w:rsidP="00AE3F9D">
      <w:pPr>
        <w:ind w:left="851" w:hanging="284"/>
        <w:jc w:val="center"/>
        <w:rPr>
          <w:rFonts w:ascii="Arial" w:hAnsi="Arial" w:cs="Arial"/>
          <w:b/>
        </w:rPr>
      </w:pPr>
    </w:p>
    <w:p w14:paraId="3361B292" w14:textId="77777777" w:rsidR="00034BB0" w:rsidRDefault="00034BB0" w:rsidP="00AE3F9D">
      <w:pPr>
        <w:ind w:left="851" w:hanging="284"/>
        <w:jc w:val="center"/>
        <w:rPr>
          <w:rFonts w:ascii="Arial" w:hAnsi="Arial" w:cs="Arial"/>
          <w:b/>
        </w:rPr>
      </w:pPr>
    </w:p>
    <w:p w14:paraId="460C4C60" w14:textId="77777777" w:rsidR="008E5DD2" w:rsidRDefault="008E5DD2" w:rsidP="00AE3F9D">
      <w:pPr>
        <w:ind w:left="851" w:hanging="284"/>
        <w:jc w:val="center"/>
        <w:rPr>
          <w:rFonts w:ascii="Arial" w:hAnsi="Arial" w:cs="Arial"/>
          <w:b/>
        </w:rPr>
      </w:pPr>
    </w:p>
    <w:p w14:paraId="60DAE7B3" w14:textId="77777777" w:rsidR="008E5DD2" w:rsidRDefault="008E5DD2" w:rsidP="00AE3F9D">
      <w:pPr>
        <w:ind w:left="851" w:hanging="284"/>
        <w:jc w:val="center"/>
        <w:rPr>
          <w:rFonts w:ascii="Arial" w:hAnsi="Arial" w:cs="Arial"/>
          <w:b/>
        </w:rPr>
      </w:pPr>
    </w:p>
    <w:p w14:paraId="48F79C49" w14:textId="77777777" w:rsidR="008E5DD2" w:rsidRDefault="008E5DD2" w:rsidP="00AE3F9D">
      <w:pPr>
        <w:ind w:left="851" w:hanging="284"/>
        <w:jc w:val="center"/>
        <w:rPr>
          <w:rFonts w:ascii="Arial" w:hAnsi="Arial" w:cs="Arial"/>
          <w:b/>
        </w:rPr>
      </w:pPr>
    </w:p>
    <w:p w14:paraId="5E3389B0" w14:textId="55B02DE1" w:rsidR="00BC43AE" w:rsidRPr="005647B0" w:rsidRDefault="00BC43AE" w:rsidP="005647B0">
      <w:pPr>
        <w:pStyle w:val="Odlomakpopisa"/>
        <w:numPr>
          <w:ilvl w:val="0"/>
          <w:numId w:val="20"/>
        </w:numPr>
        <w:jc w:val="center"/>
        <w:rPr>
          <w:rFonts w:ascii="Arial" w:hAnsi="Arial" w:cs="Arial"/>
          <w:b/>
        </w:rPr>
      </w:pPr>
      <w:r w:rsidRPr="005647B0">
        <w:rPr>
          <w:rFonts w:ascii="Arial" w:hAnsi="Arial" w:cs="Arial"/>
          <w:b/>
        </w:rPr>
        <w:t xml:space="preserve">TEMELJNA EKONOMSKA ISHODIŠTA I PRETPOSTAVKE </w:t>
      </w:r>
      <w:r w:rsidR="004E399B" w:rsidRPr="005647B0">
        <w:rPr>
          <w:rFonts w:ascii="Arial" w:hAnsi="Arial" w:cs="Arial"/>
          <w:b/>
        </w:rPr>
        <w:t>ZA IZRADU PRIJEDLOGA PRO</w:t>
      </w:r>
      <w:r w:rsidR="0083059C" w:rsidRPr="005647B0">
        <w:rPr>
          <w:rFonts w:ascii="Arial" w:hAnsi="Arial" w:cs="Arial"/>
          <w:b/>
        </w:rPr>
        <w:t>RAČUNA JLP(R)S ZA RAZDOBLJE 20</w:t>
      </w:r>
      <w:r w:rsidR="00034BB0" w:rsidRPr="005647B0">
        <w:rPr>
          <w:rFonts w:ascii="Arial" w:hAnsi="Arial" w:cs="Arial"/>
          <w:b/>
        </w:rPr>
        <w:t>2</w:t>
      </w:r>
      <w:r w:rsidR="00C613D0">
        <w:rPr>
          <w:rFonts w:ascii="Arial" w:hAnsi="Arial" w:cs="Arial"/>
          <w:b/>
        </w:rPr>
        <w:t>2</w:t>
      </w:r>
      <w:r w:rsidR="0083059C" w:rsidRPr="005647B0">
        <w:rPr>
          <w:rFonts w:ascii="Arial" w:hAnsi="Arial" w:cs="Arial"/>
          <w:b/>
        </w:rPr>
        <w:t>. – 20</w:t>
      </w:r>
      <w:r w:rsidR="00034BB0" w:rsidRPr="005647B0">
        <w:rPr>
          <w:rFonts w:ascii="Arial" w:hAnsi="Arial" w:cs="Arial"/>
          <w:b/>
        </w:rPr>
        <w:t>2</w:t>
      </w:r>
      <w:r w:rsidR="00C613D0">
        <w:rPr>
          <w:rFonts w:ascii="Arial" w:hAnsi="Arial" w:cs="Arial"/>
          <w:b/>
        </w:rPr>
        <w:t>4</w:t>
      </w:r>
      <w:r w:rsidR="004E399B" w:rsidRPr="005647B0">
        <w:rPr>
          <w:rFonts w:ascii="Arial" w:hAnsi="Arial" w:cs="Arial"/>
          <w:b/>
        </w:rPr>
        <w:t>. GODINE</w:t>
      </w:r>
    </w:p>
    <w:p w14:paraId="7A3617B9" w14:textId="77777777" w:rsidR="005647B0" w:rsidRPr="005647B0" w:rsidRDefault="005647B0" w:rsidP="005647B0">
      <w:pPr>
        <w:pStyle w:val="Odlomakpopisa"/>
        <w:ind w:left="927"/>
        <w:rPr>
          <w:rFonts w:ascii="Arial" w:hAnsi="Arial" w:cs="Arial"/>
          <w:b/>
        </w:rPr>
      </w:pPr>
    </w:p>
    <w:p w14:paraId="0E818F39" w14:textId="23708053" w:rsidR="00FF2471" w:rsidRDefault="005647B0" w:rsidP="00FF2471">
      <w:pPr>
        <w:ind w:firstLine="567"/>
        <w:jc w:val="both"/>
        <w:rPr>
          <w:rFonts w:ascii="Arial" w:hAnsi="Arial" w:cs="Arial"/>
        </w:rPr>
      </w:pPr>
      <w:proofErr w:type="spellStart"/>
      <w:r w:rsidRPr="005647B0">
        <w:rPr>
          <w:rFonts w:ascii="Arial" w:hAnsi="Arial" w:cs="Arial"/>
        </w:rPr>
        <w:t>Smjernice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ekonomske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i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fiskaln</w:t>
      </w:r>
      <w:r w:rsidR="00C613D0">
        <w:rPr>
          <w:rFonts w:ascii="Arial" w:hAnsi="Arial" w:cs="Arial"/>
        </w:rPr>
        <w:t>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politike</w:t>
      </w:r>
      <w:proofErr w:type="spellEnd"/>
      <w:r w:rsidRPr="005647B0">
        <w:rPr>
          <w:rFonts w:ascii="Arial" w:hAnsi="Arial" w:cs="Arial"/>
        </w:rPr>
        <w:t xml:space="preserve"> za </w:t>
      </w:r>
      <w:proofErr w:type="spellStart"/>
      <w:r w:rsidRPr="005647B0">
        <w:rPr>
          <w:rFonts w:ascii="Arial" w:hAnsi="Arial" w:cs="Arial"/>
        </w:rPr>
        <w:t>razdoblje</w:t>
      </w:r>
      <w:proofErr w:type="spellEnd"/>
      <w:r w:rsidRPr="005647B0">
        <w:rPr>
          <w:rFonts w:ascii="Arial" w:hAnsi="Arial" w:cs="Arial"/>
        </w:rPr>
        <w:t xml:space="preserve"> 202</w:t>
      </w:r>
      <w:r w:rsidR="00C613D0">
        <w:rPr>
          <w:rFonts w:ascii="Arial" w:hAnsi="Arial" w:cs="Arial"/>
        </w:rPr>
        <w:t>2</w:t>
      </w:r>
      <w:r w:rsidRPr="005647B0">
        <w:rPr>
          <w:rFonts w:ascii="Arial" w:hAnsi="Arial" w:cs="Arial"/>
        </w:rPr>
        <w:t>. - 202</w:t>
      </w:r>
      <w:r w:rsidR="00C613D0">
        <w:rPr>
          <w:rFonts w:ascii="Arial" w:hAnsi="Arial" w:cs="Arial"/>
        </w:rPr>
        <w:t>4</w:t>
      </w:r>
      <w:r w:rsidRPr="005647B0">
        <w:rPr>
          <w:rFonts w:ascii="Arial" w:hAnsi="Arial" w:cs="Arial"/>
        </w:rPr>
        <w:t xml:space="preserve">. </w:t>
      </w:r>
      <w:proofErr w:type="spellStart"/>
      <w:r w:rsidRPr="005647B0">
        <w:rPr>
          <w:rFonts w:ascii="Arial" w:hAnsi="Arial" w:cs="Arial"/>
        </w:rPr>
        <w:t>godine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sadrže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ciljeve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ekonomske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politike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te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makroekonomski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i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fiskalni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okvir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opće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države</w:t>
      </w:r>
      <w:proofErr w:type="spellEnd"/>
      <w:r w:rsidRPr="005647B0">
        <w:rPr>
          <w:rFonts w:ascii="Arial" w:hAnsi="Arial" w:cs="Arial"/>
        </w:rPr>
        <w:t xml:space="preserve"> za </w:t>
      </w:r>
      <w:proofErr w:type="spellStart"/>
      <w:r w:rsidRPr="005647B0">
        <w:rPr>
          <w:rFonts w:ascii="Arial" w:hAnsi="Arial" w:cs="Arial"/>
        </w:rPr>
        <w:t>trogodišnje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razdoblje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i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Pr="005647B0">
        <w:rPr>
          <w:rFonts w:ascii="Arial" w:hAnsi="Arial" w:cs="Arial"/>
        </w:rPr>
        <w:t>objavljene</w:t>
      </w:r>
      <w:proofErr w:type="spellEnd"/>
      <w:r w:rsidRPr="005647B0">
        <w:rPr>
          <w:rFonts w:ascii="Arial" w:hAnsi="Arial" w:cs="Arial"/>
        </w:rPr>
        <w:t xml:space="preserve"> </w:t>
      </w:r>
      <w:proofErr w:type="spellStart"/>
      <w:r w:rsidR="00FF2471">
        <w:rPr>
          <w:rFonts w:ascii="Arial" w:hAnsi="Arial" w:cs="Arial"/>
        </w:rPr>
        <w:t>su</w:t>
      </w:r>
      <w:proofErr w:type="spellEnd"/>
      <w:r w:rsidR="00FF2471">
        <w:rPr>
          <w:rFonts w:ascii="Arial" w:hAnsi="Arial" w:cs="Arial"/>
        </w:rPr>
        <w:t xml:space="preserve"> </w:t>
      </w:r>
      <w:proofErr w:type="spellStart"/>
      <w:r w:rsidR="00FF2471">
        <w:rPr>
          <w:rFonts w:ascii="Arial" w:hAnsi="Arial" w:cs="Arial"/>
        </w:rPr>
        <w:t>na</w:t>
      </w:r>
      <w:proofErr w:type="spellEnd"/>
      <w:r w:rsidR="00FF2471">
        <w:rPr>
          <w:rFonts w:ascii="Arial" w:hAnsi="Arial" w:cs="Arial"/>
        </w:rPr>
        <w:t xml:space="preserve"> </w:t>
      </w:r>
      <w:proofErr w:type="spellStart"/>
      <w:r w:rsidR="00FF2471">
        <w:rPr>
          <w:rFonts w:ascii="Arial" w:hAnsi="Arial" w:cs="Arial"/>
        </w:rPr>
        <w:t>mrežnoj</w:t>
      </w:r>
      <w:proofErr w:type="spellEnd"/>
      <w:r w:rsidR="00FF2471">
        <w:rPr>
          <w:rFonts w:ascii="Arial" w:hAnsi="Arial" w:cs="Arial"/>
        </w:rPr>
        <w:t xml:space="preserve"> </w:t>
      </w:r>
      <w:proofErr w:type="spellStart"/>
      <w:r w:rsidR="00FF2471">
        <w:rPr>
          <w:rFonts w:ascii="Arial" w:hAnsi="Arial" w:cs="Arial"/>
        </w:rPr>
        <w:t>stranici</w:t>
      </w:r>
      <w:proofErr w:type="spellEnd"/>
      <w:r w:rsidR="00FF2471">
        <w:rPr>
          <w:rFonts w:ascii="Arial" w:hAnsi="Arial" w:cs="Arial"/>
        </w:rPr>
        <w:t xml:space="preserve"> </w:t>
      </w:r>
      <w:proofErr w:type="spellStart"/>
      <w:r w:rsidR="00FF2471">
        <w:rPr>
          <w:rFonts w:ascii="Arial" w:hAnsi="Arial" w:cs="Arial"/>
        </w:rPr>
        <w:t>Ministarstva</w:t>
      </w:r>
      <w:proofErr w:type="spellEnd"/>
      <w:r w:rsidR="00FF2471">
        <w:rPr>
          <w:rFonts w:ascii="Arial" w:hAnsi="Arial" w:cs="Arial"/>
        </w:rPr>
        <w:t xml:space="preserve"> </w:t>
      </w:r>
      <w:proofErr w:type="spellStart"/>
      <w:r w:rsidR="00FF2471">
        <w:rPr>
          <w:rFonts w:ascii="Arial" w:hAnsi="Arial" w:cs="Arial"/>
        </w:rPr>
        <w:t>financija</w:t>
      </w:r>
      <w:proofErr w:type="spellEnd"/>
      <w:r w:rsidR="00FF2471">
        <w:rPr>
          <w:rFonts w:ascii="Arial" w:hAnsi="Arial" w:cs="Arial"/>
        </w:rPr>
        <w:t>:</w:t>
      </w:r>
    </w:p>
    <w:p w14:paraId="2DF7A953" w14:textId="77777777" w:rsidR="006800A3" w:rsidRDefault="006800A3" w:rsidP="00FF2471">
      <w:pPr>
        <w:ind w:firstLine="567"/>
        <w:jc w:val="both"/>
        <w:rPr>
          <w:rFonts w:ascii="Arial" w:hAnsi="Arial" w:cs="Arial"/>
        </w:rPr>
      </w:pPr>
    </w:p>
    <w:p w14:paraId="486744FE" w14:textId="2D089CD9" w:rsidR="006800A3" w:rsidRDefault="00C66BE7" w:rsidP="00FF2471">
      <w:pPr>
        <w:ind w:firstLine="567"/>
        <w:jc w:val="both"/>
        <w:rPr>
          <w:rFonts w:ascii="Arial" w:hAnsi="Arial" w:cs="Arial"/>
        </w:rPr>
      </w:pPr>
      <w:hyperlink r:id="rId8" w:history="1">
        <w:r w:rsidR="006800A3" w:rsidRPr="006F2028">
          <w:rPr>
            <w:rStyle w:val="Hiperveza"/>
            <w:rFonts w:ascii="Arial" w:hAnsi="Arial" w:cs="Arial"/>
          </w:rPr>
          <w:t>https://mfin.gov.hr/UserDocsImages//dokumenti/publikacije/smjernice//Smjernice%20za%20izradu%20DP%20RH%20za%202022%20i%20projekcija%20za%202023%20i%202024.pdf</w:t>
        </w:r>
      </w:hyperlink>
    </w:p>
    <w:p w14:paraId="3C74CB72" w14:textId="26D501A1" w:rsidR="00FF2471" w:rsidRPr="005647B0" w:rsidRDefault="00FF2471" w:rsidP="006800A3">
      <w:pPr>
        <w:rPr>
          <w:rFonts w:ascii="Arial" w:hAnsi="Arial" w:cs="Arial"/>
        </w:rPr>
      </w:pPr>
    </w:p>
    <w:p w14:paraId="41A0812E" w14:textId="33A54C9E" w:rsidR="009C3891" w:rsidRDefault="009C3891" w:rsidP="005647B0">
      <w:pPr>
        <w:jc w:val="both"/>
        <w:rPr>
          <w:rFonts w:ascii="Arial" w:hAnsi="Arial" w:cs="Arial"/>
        </w:rPr>
      </w:pPr>
    </w:p>
    <w:p w14:paraId="2AD5C292" w14:textId="5C8A4A13" w:rsidR="009C3891" w:rsidRDefault="009C3891" w:rsidP="009C3891">
      <w:pPr>
        <w:pStyle w:val="Naslov4"/>
      </w:pPr>
      <w:r>
        <w:t xml:space="preserve">Tablica 1: </w:t>
      </w:r>
      <w:r w:rsidR="006800A3">
        <w:t>Projekcije</w:t>
      </w:r>
      <w:r w:rsidR="006800A3">
        <w:rPr>
          <w:spacing w:val="-3"/>
        </w:rPr>
        <w:t xml:space="preserve"> </w:t>
      </w:r>
      <w:r w:rsidR="006800A3">
        <w:t>makroekonomskih</w:t>
      </w:r>
      <w:r w:rsidR="006800A3">
        <w:rPr>
          <w:spacing w:val="-3"/>
        </w:rPr>
        <w:t xml:space="preserve"> </w:t>
      </w:r>
      <w:r w:rsidR="006800A3">
        <w:t>pokazatelja</w:t>
      </w:r>
      <w:r w:rsidR="006800A3">
        <w:rPr>
          <w:spacing w:val="-1"/>
        </w:rPr>
        <w:t xml:space="preserve"> </w:t>
      </w:r>
      <w:r w:rsidR="006800A3">
        <w:t>Republike</w:t>
      </w:r>
      <w:r w:rsidR="006800A3">
        <w:rPr>
          <w:spacing w:val="-1"/>
        </w:rPr>
        <w:t xml:space="preserve"> </w:t>
      </w:r>
      <w:r w:rsidR="006800A3">
        <w:t>Hrvatske</w:t>
      </w:r>
    </w:p>
    <w:tbl>
      <w:tblPr>
        <w:tblStyle w:val="TableNormal"/>
        <w:tblW w:w="9345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4913"/>
        <w:gridCol w:w="1116"/>
        <w:gridCol w:w="1106"/>
        <w:gridCol w:w="1106"/>
        <w:gridCol w:w="1104"/>
      </w:tblGrid>
      <w:tr w:rsidR="006800A3" w14:paraId="61D5EB8A" w14:textId="77777777" w:rsidTr="006800A3">
        <w:trPr>
          <w:trHeight w:val="473"/>
        </w:trPr>
        <w:tc>
          <w:tcPr>
            <w:tcW w:w="491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shd w:val="clear" w:color="auto" w:fill="99CCFF"/>
          </w:tcPr>
          <w:p w14:paraId="542C29C7" w14:textId="77777777" w:rsidR="006800A3" w:rsidRDefault="006800A3" w:rsidP="006D3C40">
            <w:pPr>
              <w:pStyle w:val="TableParagraph"/>
              <w:spacing w:before="2"/>
              <w:jc w:val="left"/>
              <w:rPr>
                <w:i/>
                <w:sz w:val="12"/>
              </w:rPr>
            </w:pPr>
          </w:p>
          <w:p w14:paraId="3D4BA91C" w14:textId="1FB63D6E" w:rsidR="006800A3" w:rsidRDefault="006800A3" w:rsidP="006800A3">
            <w:pPr>
              <w:pStyle w:val="TableParagraph"/>
              <w:ind w:right="3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                                                                                    2020.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99CCFF"/>
          </w:tcPr>
          <w:p w14:paraId="1AA36DA4" w14:textId="7899B5D8" w:rsidR="006800A3" w:rsidRDefault="006800A3" w:rsidP="006800A3">
            <w:pPr>
              <w:pStyle w:val="TableParagraph"/>
              <w:spacing w:before="21" w:line="220" w:lineRule="atLeast"/>
              <w:ind w:right="18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Projekcija     2021.</w:t>
            </w:r>
          </w:p>
        </w:tc>
        <w:tc>
          <w:tcPr>
            <w:tcW w:w="110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99CCFF"/>
          </w:tcPr>
          <w:p w14:paraId="0AB1F796" w14:textId="0444F231" w:rsidR="006800A3" w:rsidRDefault="006800A3" w:rsidP="006800A3">
            <w:pPr>
              <w:pStyle w:val="TableParagraph"/>
              <w:spacing w:before="21" w:line="220" w:lineRule="atLeast"/>
              <w:ind w:right="18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Projekcija 2022.</w:t>
            </w:r>
          </w:p>
        </w:tc>
        <w:tc>
          <w:tcPr>
            <w:tcW w:w="110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99CCFF"/>
          </w:tcPr>
          <w:p w14:paraId="6873E226" w14:textId="3A714F18" w:rsidR="006800A3" w:rsidRDefault="006800A3" w:rsidP="006800A3">
            <w:pPr>
              <w:pStyle w:val="TableParagraph"/>
              <w:spacing w:before="21" w:line="220" w:lineRule="atLeast"/>
              <w:ind w:right="18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Projekcija 2023.</w:t>
            </w:r>
          </w:p>
        </w:tc>
        <w:tc>
          <w:tcPr>
            <w:tcW w:w="1104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40B7AF89" w14:textId="5B8B598B" w:rsidR="006800A3" w:rsidRDefault="006800A3" w:rsidP="006800A3">
            <w:pPr>
              <w:pStyle w:val="TableParagraph"/>
              <w:spacing w:before="21" w:line="220" w:lineRule="atLeast"/>
              <w:ind w:right="16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Projekcija 2024.</w:t>
            </w:r>
          </w:p>
        </w:tc>
      </w:tr>
    </w:tbl>
    <w:p w14:paraId="5E07427D" w14:textId="36938661" w:rsidR="006800A3" w:rsidRDefault="006800A3" w:rsidP="006800A3">
      <w:pPr>
        <w:pStyle w:val="Naslov4"/>
        <w:ind w:left="0"/>
      </w:pPr>
    </w:p>
    <w:tbl>
      <w:tblPr>
        <w:tblStyle w:val="TableNormal"/>
        <w:tblW w:w="9063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3348"/>
        <w:gridCol w:w="1051"/>
        <w:gridCol w:w="1152"/>
        <w:gridCol w:w="1176"/>
        <w:gridCol w:w="1164"/>
        <w:gridCol w:w="1172"/>
      </w:tblGrid>
      <w:tr w:rsidR="006800A3" w14:paraId="500D4881" w14:textId="77777777" w:rsidTr="006800A3">
        <w:trPr>
          <w:trHeight w:val="218"/>
        </w:trPr>
        <w:tc>
          <w:tcPr>
            <w:tcW w:w="3348" w:type="dxa"/>
          </w:tcPr>
          <w:p w14:paraId="6F1918C9" w14:textId="77777777" w:rsidR="006800A3" w:rsidRDefault="006800A3" w:rsidP="006D3C40">
            <w:pPr>
              <w:pStyle w:val="TableParagraph"/>
              <w:spacing w:line="188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BDP -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realni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rast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051" w:type="dxa"/>
          </w:tcPr>
          <w:p w14:paraId="30D8C29E" w14:textId="77777777" w:rsidR="006800A3" w:rsidRDefault="006800A3" w:rsidP="006D3C40">
            <w:pPr>
              <w:pStyle w:val="TableParagraph"/>
              <w:spacing w:line="188" w:lineRule="exact"/>
              <w:ind w:left="30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-8,0</w:t>
            </w:r>
          </w:p>
        </w:tc>
        <w:tc>
          <w:tcPr>
            <w:tcW w:w="1152" w:type="dxa"/>
          </w:tcPr>
          <w:p w14:paraId="06AEFAF3" w14:textId="77777777" w:rsidR="006800A3" w:rsidRDefault="006800A3" w:rsidP="006D3C40">
            <w:pPr>
              <w:pStyle w:val="TableParagraph"/>
              <w:spacing w:line="188" w:lineRule="exact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5,2</w:t>
            </w:r>
          </w:p>
        </w:tc>
        <w:tc>
          <w:tcPr>
            <w:tcW w:w="1176" w:type="dxa"/>
          </w:tcPr>
          <w:p w14:paraId="01DDDDB3" w14:textId="77777777" w:rsidR="006800A3" w:rsidRDefault="006800A3" w:rsidP="006D3C40">
            <w:pPr>
              <w:pStyle w:val="TableParagraph"/>
              <w:spacing w:line="188" w:lineRule="exact"/>
              <w:ind w:right="4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6,6</w:t>
            </w:r>
          </w:p>
        </w:tc>
        <w:tc>
          <w:tcPr>
            <w:tcW w:w="1164" w:type="dxa"/>
          </w:tcPr>
          <w:p w14:paraId="378ECFF4" w14:textId="77777777" w:rsidR="006800A3" w:rsidRDefault="006800A3" w:rsidP="006D3C40">
            <w:pPr>
              <w:pStyle w:val="TableParagraph"/>
              <w:spacing w:line="188" w:lineRule="exact"/>
              <w:ind w:left="413" w:right="4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4,1</w:t>
            </w:r>
          </w:p>
        </w:tc>
        <w:tc>
          <w:tcPr>
            <w:tcW w:w="1172" w:type="dxa"/>
          </w:tcPr>
          <w:p w14:paraId="7CCC98C2" w14:textId="77777777" w:rsidR="006800A3" w:rsidRDefault="006800A3" w:rsidP="006D3C40">
            <w:pPr>
              <w:pStyle w:val="TableParagraph"/>
              <w:spacing w:line="188" w:lineRule="exact"/>
              <w:ind w:left="420" w:right="40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3,4</w:t>
            </w:r>
          </w:p>
        </w:tc>
      </w:tr>
      <w:tr w:rsidR="006800A3" w14:paraId="2F75E938" w14:textId="77777777" w:rsidTr="006800A3">
        <w:trPr>
          <w:trHeight w:val="248"/>
        </w:trPr>
        <w:tc>
          <w:tcPr>
            <w:tcW w:w="3348" w:type="dxa"/>
          </w:tcPr>
          <w:p w14:paraId="28A36AC9" w14:textId="7B0AEC30" w:rsidR="006800A3" w:rsidRDefault="006800A3" w:rsidP="006D3C40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Osobna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potrošnja</w:t>
            </w:r>
          </w:p>
        </w:tc>
        <w:tc>
          <w:tcPr>
            <w:tcW w:w="1051" w:type="dxa"/>
          </w:tcPr>
          <w:p w14:paraId="20446668" w14:textId="77777777" w:rsidR="006800A3" w:rsidRDefault="006800A3" w:rsidP="006D3C40">
            <w:pPr>
              <w:pStyle w:val="TableParagraph"/>
              <w:ind w:left="30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-6,2</w:t>
            </w:r>
          </w:p>
        </w:tc>
        <w:tc>
          <w:tcPr>
            <w:tcW w:w="1152" w:type="dxa"/>
          </w:tcPr>
          <w:p w14:paraId="7B195EE5" w14:textId="77777777" w:rsidR="006800A3" w:rsidRDefault="006800A3" w:rsidP="006D3C4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5,1</w:t>
            </w:r>
          </w:p>
        </w:tc>
        <w:tc>
          <w:tcPr>
            <w:tcW w:w="1176" w:type="dxa"/>
          </w:tcPr>
          <w:p w14:paraId="175A8376" w14:textId="77777777" w:rsidR="006800A3" w:rsidRDefault="006800A3" w:rsidP="006D3C40">
            <w:pPr>
              <w:pStyle w:val="TableParagraph"/>
              <w:ind w:right="463"/>
              <w:rPr>
                <w:sz w:val="18"/>
              </w:rPr>
            </w:pPr>
            <w:r>
              <w:rPr>
                <w:w w:val="105"/>
                <w:sz w:val="18"/>
              </w:rPr>
              <w:t>4,0</w:t>
            </w:r>
          </w:p>
        </w:tc>
        <w:tc>
          <w:tcPr>
            <w:tcW w:w="1164" w:type="dxa"/>
          </w:tcPr>
          <w:p w14:paraId="0671FA8C" w14:textId="77777777" w:rsidR="006800A3" w:rsidRDefault="006800A3" w:rsidP="006D3C40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3,7</w:t>
            </w:r>
          </w:p>
        </w:tc>
        <w:tc>
          <w:tcPr>
            <w:tcW w:w="1172" w:type="dxa"/>
          </w:tcPr>
          <w:p w14:paraId="5DA57492" w14:textId="77777777" w:rsidR="006800A3" w:rsidRDefault="006800A3" w:rsidP="006D3C40">
            <w:pPr>
              <w:pStyle w:val="TableParagraph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3,6</w:t>
            </w:r>
          </w:p>
        </w:tc>
      </w:tr>
      <w:tr w:rsidR="006800A3" w14:paraId="0E561C42" w14:textId="77777777" w:rsidTr="006800A3">
        <w:trPr>
          <w:trHeight w:val="248"/>
        </w:trPr>
        <w:tc>
          <w:tcPr>
            <w:tcW w:w="3348" w:type="dxa"/>
          </w:tcPr>
          <w:p w14:paraId="5980DD90" w14:textId="00BE72C9" w:rsidR="006800A3" w:rsidRDefault="006800A3" w:rsidP="006D3C40">
            <w:pPr>
              <w:pStyle w:val="TableParagraph"/>
              <w:spacing w:line="219" w:lineRule="exact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Državna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potrošnja</w:t>
            </w:r>
          </w:p>
        </w:tc>
        <w:tc>
          <w:tcPr>
            <w:tcW w:w="1051" w:type="dxa"/>
          </w:tcPr>
          <w:p w14:paraId="3FC0BD72" w14:textId="77777777" w:rsidR="006800A3" w:rsidRDefault="006800A3" w:rsidP="006D3C40">
            <w:pPr>
              <w:pStyle w:val="TableParagraph"/>
              <w:spacing w:line="219" w:lineRule="exact"/>
              <w:ind w:left="3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3,4</w:t>
            </w:r>
          </w:p>
        </w:tc>
        <w:tc>
          <w:tcPr>
            <w:tcW w:w="1152" w:type="dxa"/>
          </w:tcPr>
          <w:p w14:paraId="603099FA" w14:textId="77777777" w:rsidR="006800A3" w:rsidRDefault="006800A3" w:rsidP="006D3C40">
            <w:pPr>
              <w:pStyle w:val="TableParagraph"/>
              <w:spacing w:line="219" w:lineRule="exact"/>
              <w:ind w:left="4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2,7</w:t>
            </w:r>
          </w:p>
        </w:tc>
        <w:tc>
          <w:tcPr>
            <w:tcW w:w="1176" w:type="dxa"/>
          </w:tcPr>
          <w:p w14:paraId="438FE450" w14:textId="77777777" w:rsidR="006800A3" w:rsidRDefault="006800A3" w:rsidP="006D3C40">
            <w:pPr>
              <w:pStyle w:val="TableParagraph"/>
              <w:spacing w:line="219" w:lineRule="exact"/>
              <w:ind w:right="463"/>
              <w:rPr>
                <w:sz w:val="18"/>
              </w:rPr>
            </w:pPr>
            <w:r>
              <w:rPr>
                <w:w w:val="105"/>
                <w:sz w:val="18"/>
              </w:rPr>
              <w:t>2,2</w:t>
            </w:r>
          </w:p>
        </w:tc>
        <w:tc>
          <w:tcPr>
            <w:tcW w:w="1164" w:type="dxa"/>
          </w:tcPr>
          <w:p w14:paraId="02369866" w14:textId="77777777" w:rsidR="006800A3" w:rsidRDefault="006800A3" w:rsidP="006D3C40">
            <w:pPr>
              <w:pStyle w:val="TableParagraph"/>
              <w:spacing w:line="219" w:lineRule="exact"/>
              <w:ind w:left="413" w:right="4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2,2</w:t>
            </w:r>
          </w:p>
        </w:tc>
        <w:tc>
          <w:tcPr>
            <w:tcW w:w="1172" w:type="dxa"/>
          </w:tcPr>
          <w:p w14:paraId="0381318A" w14:textId="77777777" w:rsidR="006800A3" w:rsidRDefault="006800A3" w:rsidP="006D3C40">
            <w:pPr>
              <w:pStyle w:val="TableParagraph"/>
              <w:spacing w:line="219" w:lineRule="exact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2,3</w:t>
            </w:r>
          </w:p>
        </w:tc>
      </w:tr>
      <w:tr w:rsidR="006800A3" w14:paraId="4FCD10DC" w14:textId="77777777" w:rsidTr="006800A3">
        <w:trPr>
          <w:trHeight w:val="249"/>
        </w:trPr>
        <w:tc>
          <w:tcPr>
            <w:tcW w:w="3348" w:type="dxa"/>
          </w:tcPr>
          <w:p w14:paraId="1886BF06" w14:textId="77777777" w:rsidR="006800A3" w:rsidRDefault="006800A3" w:rsidP="006D3C40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Bruto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investicije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fiksni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kapital</w:t>
            </w:r>
          </w:p>
        </w:tc>
        <w:tc>
          <w:tcPr>
            <w:tcW w:w="1051" w:type="dxa"/>
          </w:tcPr>
          <w:p w14:paraId="045B1679" w14:textId="77777777" w:rsidR="006800A3" w:rsidRDefault="006800A3" w:rsidP="006D3C40">
            <w:pPr>
              <w:pStyle w:val="TableParagraph"/>
              <w:ind w:left="30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-2,9</w:t>
            </w:r>
          </w:p>
        </w:tc>
        <w:tc>
          <w:tcPr>
            <w:tcW w:w="1152" w:type="dxa"/>
          </w:tcPr>
          <w:p w14:paraId="3579CE27" w14:textId="77777777" w:rsidR="006800A3" w:rsidRDefault="006800A3" w:rsidP="006D3C4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9,9</w:t>
            </w:r>
          </w:p>
        </w:tc>
        <w:tc>
          <w:tcPr>
            <w:tcW w:w="1176" w:type="dxa"/>
          </w:tcPr>
          <w:p w14:paraId="1CE6741E" w14:textId="77777777" w:rsidR="006800A3" w:rsidRDefault="006800A3" w:rsidP="006D3C40">
            <w:pPr>
              <w:pStyle w:val="TableParagraph"/>
              <w:ind w:right="428"/>
              <w:rPr>
                <w:sz w:val="18"/>
              </w:rPr>
            </w:pPr>
            <w:r>
              <w:rPr>
                <w:w w:val="105"/>
                <w:sz w:val="18"/>
              </w:rPr>
              <w:t>18,0</w:t>
            </w:r>
          </w:p>
        </w:tc>
        <w:tc>
          <w:tcPr>
            <w:tcW w:w="1164" w:type="dxa"/>
          </w:tcPr>
          <w:p w14:paraId="500158B2" w14:textId="77777777" w:rsidR="006800A3" w:rsidRDefault="006800A3" w:rsidP="006D3C40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8,5</w:t>
            </w:r>
          </w:p>
        </w:tc>
        <w:tc>
          <w:tcPr>
            <w:tcW w:w="1172" w:type="dxa"/>
          </w:tcPr>
          <w:p w14:paraId="5EB48E89" w14:textId="77777777" w:rsidR="006800A3" w:rsidRDefault="006800A3" w:rsidP="006D3C40">
            <w:pPr>
              <w:pStyle w:val="TableParagraph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4,5</w:t>
            </w:r>
          </w:p>
        </w:tc>
      </w:tr>
      <w:tr w:rsidR="006800A3" w14:paraId="3FCC4470" w14:textId="77777777" w:rsidTr="006800A3">
        <w:trPr>
          <w:trHeight w:val="249"/>
        </w:trPr>
        <w:tc>
          <w:tcPr>
            <w:tcW w:w="3348" w:type="dxa"/>
          </w:tcPr>
          <w:p w14:paraId="090CA1C4" w14:textId="326417BB" w:rsidR="006800A3" w:rsidRDefault="006800A3" w:rsidP="006D3C40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Izvoz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roba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051" w:type="dxa"/>
          </w:tcPr>
          <w:p w14:paraId="44A68783" w14:textId="77777777" w:rsidR="006800A3" w:rsidRDefault="006800A3" w:rsidP="006D3C40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-25,0</w:t>
            </w:r>
          </w:p>
        </w:tc>
        <w:tc>
          <w:tcPr>
            <w:tcW w:w="1152" w:type="dxa"/>
          </w:tcPr>
          <w:p w14:paraId="43A985FB" w14:textId="77777777" w:rsidR="006800A3" w:rsidRDefault="006800A3" w:rsidP="006D3C40">
            <w:pPr>
              <w:pStyle w:val="TableParagraph"/>
              <w:ind w:left="40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12,5</w:t>
            </w:r>
          </w:p>
        </w:tc>
        <w:tc>
          <w:tcPr>
            <w:tcW w:w="1176" w:type="dxa"/>
          </w:tcPr>
          <w:p w14:paraId="5985BC68" w14:textId="77777777" w:rsidR="006800A3" w:rsidRDefault="006800A3" w:rsidP="006D3C40">
            <w:pPr>
              <w:pStyle w:val="TableParagraph"/>
              <w:ind w:right="428"/>
              <w:rPr>
                <w:sz w:val="18"/>
              </w:rPr>
            </w:pPr>
            <w:r>
              <w:rPr>
                <w:w w:val="105"/>
                <w:sz w:val="18"/>
              </w:rPr>
              <w:t>15,8</w:t>
            </w:r>
          </w:p>
        </w:tc>
        <w:tc>
          <w:tcPr>
            <w:tcW w:w="1164" w:type="dxa"/>
          </w:tcPr>
          <w:p w14:paraId="7A99D3E5" w14:textId="77777777" w:rsidR="006800A3" w:rsidRDefault="006800A3" w:rsidP="006D3C40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6,1</w:t>
            </w:r>
          </w:p>
        </w:tc>
        <w:tc>
          <w:tcPr>
            <w:tcW w:w="1172" w:type="dxa"/>
          </w:tcPr>
          <w:p w14:paraId="7A62EA87" w14:textId="77777777" w:rsidR="006800A3" w:rsidRDefault="006800A3" w:rsidP="006D3C40">
            <w:pPr>
              <w:pStyle w:val="TableParagraph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3,9</w:t>
            </w:r>
          </w:p>
        </w:tc>
      </w:tr>
      <w:tr w:rsidR="006800A3" w14:paraId="77598D8C" w14:textId="77777777" w:rsidTr="006800A3">
        <w:trPr>
          <w:trHeight w:val="292"/>
        </w:trPr>
        <w:tc>
          <w:tcPr>
            <w:tcW w:w="3348" w:type="dxa"/>
          </w:tcPr>
          <w:p w14:paraId="1A6A5F39" w14:textId="5DD11E4B" w:rsidR="006800A3" w:rsidRDefault="006800A3" w:rsidP="006D3C40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Uvoz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roba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051" w:type="dxa"/>
          </w:tcPr>
          <w:p w14:paraId="7DD3BBB6" w14:textId="77777777" w:rsidR="006800A3" w:rsidRDefault="006800A3" w:rsidP="006D3C40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-13,8</w:t>
            </w:r>
          </w:p>
        </w:tc>
        <w:tc>
          <w:tcPr>
            <w:tcW w:w="1152" w:type="dxa"/>
          </w:tcPr>
          <w:p w14:paraId="3ED52330" w14:textId="77777777" w:rsidR="006800A3" w:rsidRDefault="006800A3" w:rsidP="006D3C40">
            <w:pPr>
              <w:pStyle w:val="TableParagraph"/>
              <w:ind w:left="40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12,3</w:t>
            </w:r>
          </w:p>
        </w:tc>
        <w:tc>
          <w:tcPr>
            <w:tcW w:w="1176" w:type="dxa"/>
          </w:tcPr>
          <w:p w14:paraId="11B3BBD6" w14:textId="77777777" w:rsidR="006800A3" w:rsidRDefault="006800A3" w:rsidP="006D3C40">
            <w:pPr>
              <w:pStyle w:val="TableParagraph"/>
              <w:ind w:right="428"/>
              <w:rPr>
                <w:sz w:val="18"/>
              </w:rPr>
            </w:pPr>
            <w:r>
              <w:rPr>
                <w:w w:val="105"/>
                <w:sz w:val="18"/>
              </w:rPr>
              <w:t>14,7</w:t>
            </w:r>
          </w:p>
        </w:tc>
        <w:tc>
          <w:tcPr>
            <w:tcW w:w="1164" w:type="dxa"/>
          </w:tcPr>
          <w:p w14:paraId="3739BA96" w14:textId="77777777" w:rsidR="006800A3" w:rsidRDefault="006800A3" w:rsidP="006D3C40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6,7</w:t>
            </w:r>
          </w:p>
        </w:tc>
        <w:tc>
          <w:tcPr>
            <w:tcW w:w="1172" w:type="dxa"/>
          </w:tcPr>
          <w:p w14:paraId="3CB7EF06" w14:textId="77777777" w:rsidR="006800A3" w:rsidRDefault="006800A3" w:rsidP="006D3C40">
            <w:pPr>
              <w:pStyle w:val="TableParagraph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4,2</w:t>
            </w:r>
          </w:p>
        </w:tc>
      </w:tr>
      <w:tr w:rsidR="006800A3" w14:paraId="7915C9B8" w14:textId="77777777" w:rsidTr="006800A3">
        <w:trPr>
          <w:trHeight w:val="292"/>
        </w:trPr>
        <w:tc>
          <w:tcPr>
            <w:tcW w:w="3348" w:type="dxa"/>
          </w:tcPr>
          <w:p w14:paraId="419821EE" w14:textId="6C4ECF57" w:rsidR="006800A3" w:rsidRDefault="006800A3" w:rsidP="006D3C40">
            <w:pPr>
              <w:pStyle w:val="TableParagraph"/>
              <w:spacing w:before="43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Doprinosi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rastu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BDP-a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(postotni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bodovi)</w:t>
            </w:r>
          </w:p>
        </w:tc>
        <w:tc>
          <w:tcPr>
            <w:tcW w:w="1051" w:type="dxa"/>
          </w:tcPr>
          <w:p w14:paraId="045A7ADC" w14:textId="77777777" w:rsidR="006800A3" w:rsidRDefault="006800A3" w:rsidP="006D3C40">
            <w:pPr>
              <w:pStyle w:val="TableParagraph"/>
              <w:spacing w:before="43"/>
              <w:ind w:left="30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-8,0</w:t>
            </w:r>
          </w:p>
        </w:tc>
        <w:tc>
          <w:tcPr>
            <w:tcW w:w="1152" w:type="dxa"/>
          </w:tcPr>
          <w:p w14:paraId="1E2803C5" w14:textId="77777777" w:rsidR="006800A3" w:rsidRDefault="006800A3" w:rsidP="006D3C40">
            <w:pPr>
              <w:pStyle w:val="TableParagraph"/>
              <w:spacing w:before="43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5,2</w:t>
            </w:r>
          </w:p>
        </w:tc>
        <w:tc>
          <w:tcPr>
            <w:tcW w:w="1176" w:type="dxa"/>
          </w:tcPr>
          <w:p w14:paraId="002558BD" w14:textId="77777777" w:rsidR="006800A3" w:rsidRDefault="006800A3" w:rsidP="006D3C40">
            <w:pPr>
              <w:pStyle w:val="TableParagraph"/>
              <w:spacing w:before="43"/>
              <w:ind w:right="4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6,6</w:t>
            </w:r>
          </w:p>
        </w:tc>
        <w:tc>
          <w:tcPr>
            <w:tcW w:w="1164" w:type="dxa"/>
          </w:tcPr>
          <w:p w14:paraId="33C9F8AB" w14:textId="77777777" w:rsidR="006800A3" w:rsidRDefault="006800A3" w:rsidP="006D3C40">
            <w:pPr>
              <w:pStyle w:val="TableParagraph"/>
              <w:spacing w:before="43"/>
              <w:ind w:left="413" w:right="4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4,1</w:t>
            </w:r>
          </w:p>
        </w:tc>
        <w:tc>
          <w:tcPr>
            <w:tcW w:w="1172" w:type="dxa"/>
          </w:tcPr>
          <w:p w14:paraId="66557FD4" w14:textId="77777777" w:rsidR="006800A3" w:rsidRDefault="006800A3" w:rsidP="006D3C40">
            <w:pPr>
              <w:pStyle w:val="TableParagraph"/>
              <w:spacing w:before="43"/>
              <w:ind w:left="420" w:right="40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3,4</w:t>
            </w:r>
          </w:p>
        </w:tc>
      </w:tr>
      <w:tr w:rsidR="006800A3" w14:paraId="11DFD935" w14:textId="77777777" w:rsidTr="006800A3">
        <w:trPr>
          <w:trHeight w:val="248"/>
        </w:trPr>
        <w:tc>
          <w:tcPr>
            <w:tcW w:w="3348" w:type="dxa"/>
          </w:tcPr>
          <w:p w14:paraId="53E892A6" w14:textId="77777777" w:rsidR="006800A3" w:rsidRDefault="006800A3" w:rsidP="006D3C40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Osobna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potrošnja</w:t>
            </w:r>
          </w:p>
        </w:tc>
        <w:tc>
          <w:tcPr>
            <w:tcW w:w="1051" w:type="dxa"/>
          </w:tcPr>
          <w:p w14:paraId="1C4EDF6C" w14:textId="77777777" w:rsidR="006800A3" w:rsidRDefault="006800A3" w:rsidP="006D3C40">
            <w:pPr>
              <w:pStyle w:val="TableParagraph"/>
              <w:ind w:left="30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-3,6</w:t>
            </w:r>
          </w:p>
        </w:tc>
        <w:tc>
          <w:tcPr>
            <w:tcW w:w="1152" w:type="dxa"/>
          </w:tcPr>
          <w:p w14:paraId="18DDE20B" w14:textId="77777777" w:rsidR="006800A3" w:rsidRDefault="006800A3" w:rsidP="006D3C4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3,0</w:t>
            </w:r>
          </w:p>
        </w:tc>
        <w:tc>
          <w:tcPr>
            <w:tcW w:w="1176" w:type="dxa"/>
          </w:tcPr>
          <w:p w14:paraId="13356F21" w14:textId="77777777" w:rsidR="006800A3" w:rsidRDefault="006800A3" w:rsidP="006D3C40">
            <w:pPr>
              <w:pStyle w:val="TableParagraph"/>
              <w:ind w:right="463"/>
              <w:rPr>
                <w:sz w:val="18"/>
              </w:rPr>
            </w:pPr>
            <w:r>
              <w:rPr>
                <w:w w:val="105"/>
                <w:sz w:val="18"/>
              </w:rPr>
              <w:t>2,4</w:t>
            </w:r>
          </w:p>
        </w:tc>
        <w:tc>
          <w:tcPr>
            <w:tcW w:w="1164" w:type="dxa"/>
          </w:tcPr>
          <w:p w14:paraId="03F50222" w14:textId="77777777" w:rsidR="006800A3" w:rsidRDefault="006800A3" w:rsidP="006D3C40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2,2</w:t>
            </w:r>
          </w:p>
        </w:tc>
        <w:tc>
          <w:tcPr>
            <w:tcW w:w="1172" w:type="dxa"/>
          </w:tcPr>
          <w:p w14:paraId="695F8E38" w14:textId="77777777" w:rsidR="006800A3" w:rsidRDefault="006800A3" w:rsidP="006D3C40">
            <w:pPr>
              <w:pStyle w:val="TableParagraph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2,1</w:t>
            </w:r>
          </w:p>
        </w:tc>
      </w:tr>
      <w:tr w:rsidR="006800A3" w14:paraId="291A9439" w14:textId="77777777" w:rsidTr="006800A3">
        <w:trPr>
          <w:trHeight w:val="248"/>
        </w:trPr>
        <w:tc>
          <w:tcPr>
            <w:tcW w:w="3348" w:type="dxa"/>
          </w:tcPr>
          <w:p w14:paraId="539C7815" w14:textId="7719C14A" w:rsidR="006800A3" w:rsidRDefault="006800A3" w:rsidP="006D3C40">
            <w:pPr>
              <w:pStyle w:val="TableParagraph"/>
              <w:spacing w:line="219" w:lineRule="exact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Državna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potrošnja</w:t>
            </w:r>
          </w:p>
        </w:tc>
        <w:tc>
          <w:tcPr>
            <w:tcW w:w="1051" w:type="dxa"/>
          </w:tcPr>
          <w:p w14:paraId="34B78F74" w14:textId="77777777" w:rsidR="006800A3" w:rsidRDefault="006800A3" w:rsidP="006D3C40">
            <w:pPr>
              <w:pStyle w:val="TableParagraph"/>
              <w:spacing w:line="219" w:lineRule="exact"/>
              <w:ind w:left="3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0,7</w:t>
            </w:r>
          </w:p>
        </w:tc>
        <w:tc>
          <w:tcPr>
            <w:tcW w:w="1152" w:type="dxa"/>
          </w:tcPr>
          <w:p w14:paraId="0107161C" w14:textId="77777777" w:rsidR="006800A3" w:rsidRDefault="006800A3" w:rsidP="006D3C40">
            <w:pPr>
              <w:pStyle w:val="TableParagraph"/>
              <w:spacing w:line="219" w:lineRule="exact"/>
              <w:ind w:left="4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0,6</w:t>
            </w:r>
          </w:p>
        </w:tc>
        <w:tc>
          <w:tcPr>
            <w:tcW w:w="1176" w:type="dxa"/>
          </w:tcPr>
          <w:p w14:paraId="07E7CFCC" w14:textId="77777777" w:rsidR="006800A3" w:rsidRDefault="006800A3" w:rsidP="006D3C40">
            <w:pPr>
              <w:pStyle w:val="TableParagraph"/>
              <w:spacing w:line="219" w:lineRule="exact"/>
              <w:ind w:right="463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164" w:type="dxa"/>
          </w:tcPr>
          <w:p w14:paraId="631B6B3F" w14:textId="77777777" w:rsidR="006800A3" w:rsidRDefault="006800A3" w:rsidP="006D3C40">
            <w:pPr>
              <w:pStyle w:val="TableParagraph"/>
              <w:spacing w:line="219" w:lineRule="exact"/>
              <w:ind w:left="413" w:right="4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  <w:tc>
          <w:tcPr>
            <w:tcW w:w="1172" w:type="dxa"/>
          </w:tcPr>
          <w:p w14:paraId="2DEE46B0" w14:textId="77777777" w:rsidR="006800A3" w:rsidRDefault="006800A3" w:rsidP="006D3C40">
            <w:pPr>
              <w:pStyle w:val="TableParagraph"/>
              <w:spacing w:line="219" w:lineRule="exact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0,5</w:t>
            </w:r>
          </w:p>
        </w:tc>
      </w:tr>
      <w:tr w:rsidR="006800A3" w14:paraId="31B75D01" w14:textId="77777777" w:rsidTr="006800A3">
        <w:trPr>
          <w:trHeight w:val="249"/>
        </w:trPr>
        <w:tc>
          <w:tcPr>
            <w:tcW w:w="3348" w:type="dxa"/>
          </w:tcPr>
          <w:p w14:paraId="7BB510B7" w14:textId="2416B265" w:rsidR="006800A3" w:rsidRDefault="006800A3" w:rsidP="006D3C40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Bruto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investicije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fiksni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kapital</w:t>
            </w:r>
          </w:p>
        </w:tc>
        <w:tc>
          <w:tcPr>
            <w:tcW w:w="1051" w:type="dxa"/>
          </w:tcPr>
          <w:p w14:paraId="6C4F3DA8" w14:textId="77777777" w:rsidR="006800A3" w:rsidRDefault="006800A3" w:rsidP="006D3C40">
            <w:pPr>
              <w:pStyle w:val="TableParagraph"/>
              <w:ind w:left="30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-0,6</w:t>
            </w:r>
          </w:p>
        </w:tc>
        <w:tc>
          <w:tcPr>
            <w:tcW w:w="1152" w:type="dxa"/>
          </w:tcPr>
          <w:p w14:paraId="36FD3591" w14:textId="77777777" w:rsidR="006800A3" w:rsidRDefault="006800A3" w:rsidP="006D3C4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2,2</w:t>
            </w:r>
          </w:p>
        </w:tc>
        <w:tc>
          <w:tcPr>
            <w:tcW w:w="1176" w:type="dxa"/>
          </w:tcPr>
          <w:p w14:paraId="2AFCC5EE" w14:textId="77777777" w:rsidR="006800A3" w:rsidRDefault="006800A3" w:rsidP="006D3C40">
            <w:pPr>
              <w:pStyle w:val="TableParagraph"/>
              <w:ind w:right="463"/>
              <w:rPr>
                <w:sz w:val="18"/>
              </w:rPr>
            </w:pPr>
            <w:r>
              <w:rPr>
                <w:w w:val="105"/>
                <w:sz w:val="18"/>
              </w:rPr>
              <w:t>4,2</w:t>
            </w:r>
          </w:p>
        </w:tc>
        <w:tc>
          <w:tcPr>
            <w:tcW w:w="1164" w:type="dxa"/>
          </w:tcPr>
          <w:p w14:paraId="3E421586" w14:textId="77777777" w:rsidR="006800A3" w:rsidRDefault="006800A3" w:rsidP="006D3C40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2,2</w:t>
            </w:r>
          </w:p>
        </w:tc>
        <w:tc>
          <w:tcPr>
            <w:tcW w:w="1172" w:type="dxa"/>
          </w:tcPr>
          <w:p w14:paraId="08409C43" w14:textId="77777777" w:rsidR="006800A3" w:rsidRDefault="006800A3" w:rsidP="006D3C40">
            <w:pPr>
              <w:pStyle w:val="TableParagraph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1,2</w:t>
            </w:r>
          </w:p>
        </w:tc>
      </w:tr>
      <w:tr w:rsidR="006800A3" w14:paraId="45AAD8B3" w14:textId="77777777" w:rsidTr="006800A3">
        <w:trPr>
          <w:trHeight w:val="249"/>
        </w:trPr>
        <w:tc>
          <w:tcPr>
            <w:tcW w:w="3348" w:type="dxa"/>
          </w:tcPr>
          <w:p w14:paraId="6277BEB6" w14:textId="77777777" w:rsidR="006800A3" w:rsidRDefault="006800A3" w:rsidP="006D3C40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Promjena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zaliha</w:t>
            </w:r>
          </w:p>
        </w:tc>
        <w:tc>
          <w:tcPr>
            <w:tcW w:w="1051" w:type="dxa"/>
          </w:tcPr>
          <w:p w14:paraId="26DC33AC" w14:textId="77777777" w:rsidR="006800A3" w:rsidRDefault="006800A3" w:rsidP="006D3C40">
            <w:pPr>
              <w:pStyle w:val="TableParagraph"/>
              <w:ind w:left="3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1,3</w:t>
            </w:r>
          </w:p>
        </w:tc>
        <w:tc>
          <w:tcPr>
            <w:tcW w:w="1152" w:type="dxa"/>
          </w:tcPr>
          <w:p w14:paraId="68B70202" w14:textId="77777777" w:rsidR="006800A3" w:rsidRDefault="006800A3" w:rsidP="006D3C4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0,1</w:t>
            </w:r>
          </w:p>
        </w:tc>
        <w:tc>
          <w:tcPr>
            <w:tcW w:w="1176" w:type="dxa"/>
          </w:tcPr>
          <w:p w14:paraId="4FD4ED3A" w14:textId="77777777" w:rsidR="006800A3" w:rsidRDefault="006800A3" w:rsidP="006D3C40">
            <w:pPr>
              <w:pStyle w:val="TableParagraph"/>
              <w:ind w:right="463"/>
              <w:rPr>
                <w:sz w:val="18"/>
              </w:rPr>
            </w:pPr>
            <w:r>
              <w:rPr>
                <w:w w:val="105"/>
                <w:sz w:val="18"/>
              </w:rPr>
              <w:t>0,2</w:t>
            </w:r>
          </w:p>
        </w:tc>
        <w:tc>
          <w:tcPr>
            <w:tcW w:w="1164" w:type="dxa"/>
          </w:tcPr>
          <w:p w14:paraId="369DB67E" w14:textId="77777777" w:rsidR="006800A3" w:rsidRDefault="006800A3" w:rsidP="006D3C40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0,1</w:t>
            </w:r>
          </w:p>
        </w:tc>
        <w:tc>
          <w:tcPr>
            <w:tcW w:w="1172" w:type="dxa"/>
          </w:tcPr>
          <w:p w14:paraId="5B6ED33E" w14:textId="77777777" w:rsidR="006800A3" w:rsidRDefault="006800A3" w:rsidP="006D3C40">
            <w:pPr>
              <w:pStyle w:val="TableParagraph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</w:t>
            </w:r>
          </w:p>
        </w:tc>
      </w:tr>
      <w:tr w:rsidR="006800A3" w14:paraId="0A1ACB6D" w14:textId="77777777" w:rsidTr="006800A3">
        <w:trPr>
          <w:trHeight w:val="249"/>
        </w:trPr>
        <w:tc>
          <w:tcPr>
            <w:tcW w:w="3348" w:type="dxa"/>
          </w:tcPr>
          <w:p w14:paraId="46482970" w14:textId="77777777" w:rsidR="006800A3" w:rsidRDefault="006800A3" w:rsidP="006D3C40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Izvoz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roba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051" w:type="dxa"/>
          </w:tcPr>
          <w:p w14:paraId="596A826E" w14:textId="77777777" w:rsidR="006800A3" w:rsidRDefault="006800A3" w:rsidP="006D3C40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-13,0</w:t>
            </w:r>
          </w:p>
        </w:tc>
        <w:tc>
          <w:tcPr>
            <w:tcW w:w="1152" w:type="dxa"/>
          </w:tcPr>
          <w:p w14:paraId="661AA082" w14:textId="77777777" w:rsidR="006800A3" w:rsidRDefault="006800A3" w:rsidP="006D3C4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5,2</w:t>
            </w:r>
          </w:p>
        </w:tc>
        <w:tc>
          <w:tcPr>
            <w:tcW w:w="1176" w:type="dxa"/>
          </w:tcPr>
          <w:p w14:paraId="268C804F" w14:textId="77777777" w:rsidR="006800A3" w:rsidRDefault="006800A3" w:rsidP="006D3C40">
            <w:pPr>
              <w:pStyle w:val="TableParagraph"/>
              <w:ind w:right="463"/>
              <w:rPr>
                <w:sz w:val="18"/>
              </w:rPr>
            </w:pPr>
            <w:r>
              <w:rPr>
                <w:w w:val="105"/>
                <w:sz w:val="18"/>
              </w:rPr>
              <w:t>7,0</w:t>
            </w:r>
          </w:p>
        </w:tc>
        <w:tc>
          <w:tcPr>
            <w:tcW w:w="1164" w:type="dxa"/>
          </w:tcPr>
          <w:p w14:paraId="77230B72" w14:textId="77777777" w:rsidR="006800A3" w:rsidRDefault="006800A3" w:rsidP="006D3C40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2,9</w:t>
            </w:r>
          </w:p>
        </w:tc>
        <w:tc>
          <w:tcPr>
            <w:tcW w:w="1172" w:type="dxa"/>
          </w:tcPr>
          <w:p w14:paraId="167B0FD3" w14:textId="77777777" w:rsidR="006800A3" w:rsidRDefault="006800A3" w:rsidP="006D3C40">
            <w:pPr>
              <w:pStyle w:val="TableParagraph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1,9</w:t>
            </w:r>
          </w:p>
        </w:tc>
      </w:tr>
      <w:tr w:rsidR="006800A3" w14:paraId="6B9C45BA" w14:textId="77777777" w:rsidTr="006800A3">
        <w:trPr>
          <w:trHeight w:val="292"/>
        </w:trPr>
        <w:tc>
          <w:tcPr>
            <w:tcW w:w="3348" w:type="dxa"/>
          </w:tcPr>
          <w:p w14:paraId="40FAC9CC" w14:textId="34D5BF96" w:rsidR="006800A3" w:rsidRDefault="006800A3" w:rsidP="006D3C40">
            <w:pPr>
              <w:pStyle w:val="TableParagraph"/>
              <w:ind w:left="148"/>
              <w:jc w:val="left"/>
              <w:rPr>
                <w:sz w:val="18"/>
              </w:rPr>
            </w:pPr>
            <w:r>
              <w:rPr>
                <w:sz w:val="18"/>
              </w:rPr>
              <w:t>Uvoz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roba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051" w:type="dxa"/>
          </w:tcPr>
          <w:p w14:paraId="701C6F99" w14:textId="77777777" w:rsidR="006800A3" w:rsidRDefault="006800A3" w:rsidP="006D3C40">
            <w:pPr>
              <w:pStyle w:val="TableParagraph"/>
              <w:ind w:left="3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7,2</w:t>
            </w:r>
          </w:p>
        </w:tc>
        <w:tc>
          <w:tcPr>
            <w:tcW w:w="1152" w:type="dxa"/>
          </w:tcPr>
          <w:p w14:paraId="0DF22E48" w14:textId="77777777" w:rsidR="006800A3" w:rsidRDefault="006800A3" w:rsidP="006D3C40">
            <w:pPr>
              <w:pStyle w:val="TableParagraph"/>
              <w:ind w:left="42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-6,0</w:t>
            </w:r>
          </w:p>
        </w:tc>
        <w:tc>
          <w:tcPr>
            <w:tcW w:w="1176" w:type="dxa"/>
          </w:tcPr>
          <w:p w14:paraId="1EE630A3" w14:textId="77777777" w:rsidR="006800A3" w:rsidRDefault="006800A3" w:rsidP="006D3C40">
            <w:pPr>
              <w:pStyle w:val="TableParagraph"/>
              <w:ind w:right="441"/>
              <w:rPr>
                <w:sz w:val="18"/>
              </w:rPr>
            </w:pPr>
            <w:r>
              <w:rPr>
                <w:w w:val="105"/>
                <w:sz w:val="18"/>
              </w:rPr>
              <w:t>-7,7</w:t>
            </w:r>
          </w:p>
        </w:tc>
        <w:tc>
          <w:tcPr>
            <w:tcW w:w="1164" w:type="dxa"/>
          </w:tcPr>
          <w:p w14:paraId="7FE4A4B1" w14:textId="77777777" w:rsidR="006800A3" w:rsidRDefault="006800A3" w:rsidP="006D3C40">
            <w:pPr>
              <w:pStyle w:val="TableParagraph"/>
              <w:ind w:left="413" w:right="41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-3,7</w:t>
            </w:r>
          </w:p>
        </w:tc>
        <w:tc>
          <w:tcPr>
            <w:tcW w:w="1172" w:type="dxa"/>
          </w:tcPr>
          <w:p w14:paraId="018F2572" w14:textId="77777777" w:rsidR="006800A3" w:rsidRDefault="006800A3" w:rsidP="006D3C40">
            <w:pPr>
              <w:pStyle w:val="TableParagraph"/>
              <w:ind w:left="420" w:right="4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-2,4</w:t>
            </w:r>
          </w:p>
        </w:tc>
      </w:tr>
      <w:tr w:rsidR="006800A3" w14:paraId="2915AC72" w14:textId="77777777" w:rsidTr="006800A3">
        <w:trPr>
          <w:trHeight w:val="336"/>
        </w:trPr>
        <w:tc>
          <w:tcPr>
            <w:tcW w:w="3348" w:type="dxa"/>
          </w:tcPr>
          <w:p w14:paraId="652BDD11" w14:textId="77777777" w:rsidR="006800A3" w:rsidRDefault="006800A3" w:rsidP="006D3C40">
            <w:pPr>
              <w:pStyle w:val="TableParagraph"/>
              <w:spacing w:before="43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indeksa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potrošačkih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cijena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051" w:type="dxa"/>
          </w:tcPr>
          <w:p w14:paraId="5ECCBB27" w14:textId="77777777" w:rsidR="006800A3" w:rsidRDefault="006800A3" w:rsidP="006D3C40">
            <w:pPr>
              <w:pStyle w:val="TableParagraph"/>
              <w:spacing w:before="43"/>
              <w:ind w:left="33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0,2</w:t>
            </w:r>
          </w:p>
        </w:tc>
        <w:tc>
          <w:tcPr>
            <w:tcW w:w="1152" w:type="dxa"/>
          </w:tcPr>
          <w:p w14:paraId="6F34A92C" w14:textId="77777777" w:rsidR="006800A3" w:rsidRDefault="006800A3" w:rsidP="006D3C40">
            <w:pPr>
              <w:pStyle w:val="TableParagraph"/>
              <w:spacing w:before="43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2,0</w:t>
            </w:r>
          </w:p>
        </w:tc>
        <w:tc>
          <w:tcPr>
            <w:tcW w:w="1176" w:type="dxa"/>
          </w:tcPr>
          <w:p w14:paraId="524AED4D" w14:textId="77777777" w:rsidR="006800A3" w:rsidRDefault="006800A3" w:rsidP="006D3C40">
            <w:pPr>
              <w:pStyle w:val="TableParagraph"/>
              <w:spacing w:before="43"/>
              <w:ind w:right="46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1,7</w:t>
            </w:r>
          </w:p>
        </w:tc>
        <w:tc>
          <w:tcPr>
            <w:tcW w:w="1164" w:type="dxa"/>
          </w:tcPr>
          <w:p w14:paraId="1F7E879B" w14:textId="77777777" w:rsidR="006800A3" w:rsidRDefault="006800A3" w:rsidP="006D3C40">
            <w:pPr>
              <w:pStyle w:val="TableParagraph"/>
              <w:spacing w:before="43"/>
              <w:ind w:left="413" w:right="40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2,0</w:t>
            </w:r>
          </w:p>
        </w:tc>
        <w:tc>
          <w:tcPr>
            <w:tcW w:w="1172" w:type="dxa"/>
          </w:tcPr>
          <w:p w14:paraId="5424F69C" w14:textId="77777777" w:rsidR="006800A3" w:rsidRDefault="006800A3" w:rsidP="006D3C40">
            <w:pPr>
              <w:pStyle w:val="TableParagraph"/>
              <w:spacing w:before="43"/>
              <w:ind w:left="420" w:right="40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2,3</w:t>
            </w:r>
          </w:p>
        </w:tc>
      </w:tr>
      <w:tr w:rsidR="006800A3" w14:paraId="24286B1B" w14:textId="77777777" w:rsidTr="006800A3">
        <w:trPr>
          <w:trHeight w:val="292"/>
        </w:trPr>
        <w:tc>
          <w:tcPr>
            <w:tcW w:w="3348" w:type="dxa"/>
          </w:tcPr>
          <w:p w14:paraId="3F8548DD" w14:textId="77777777" w:rsidR="006800A3" w:rsidRDefault="006800A3" w:rsidP="006D3C40">
            <w:pPr>
              <w:pStyle w:val="TableParagraph"/>
              <w:spacing w:before="43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zaposlenosti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(%)*</w:t>
            </w:r>
          </w:p>
        </w:tc>
        <w:tc>
          <w:tcPr>
            <w:tcW w:w="1051" w:type="dxa"/>
          </w:tcPr>
          <w:p w14:paraId="774909A5" w14:textId="77777777" w:rsidR="006800A3" w:rsidRDefault="006800A3" w:rsidP="006D3C40">
            <w:pPr>
              <w:pStyle w:val="TableParagraph"/>
              <w:spacing w:before="43"/>
              <w:ind w:left="30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-1,2</w:t>
            </w:r>
          </w:p>
        </w:tc>
        <w:tc>
          <w:tcPr>
            <w:tcW w:w="1152" w:type="dxa"/>
          </w:tcPr>
          <w:p w14:paraId="4803E418" w14:textId="77777777" w:rsidR="006800A3" w:rsidRDefault="006800A3" w:rsidP="006D3C40">
            <w:pPr>
              <w:pStyle w:val="TableParagraph"/>
              <w:spacing w:before="43"/>
              <w:ind w:left="45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2,3</w:t>
            </w:r>
          </w:p>
        </w:tc>
        <w:tc>
          <w:tcPr>
            <w:tcW w:w="1176" w:type="dxa"/>
          </w:tcPr>
          <w:p w14:paraId="58524EF3" w14:textId="77777777" w:rsidR="006800A3" w:rsidRDefault="006800A3" w:rsidP="006D3C40">
            <w:pPr>
              <w:pStyle w:val="TableParagraph"/>
              <w:spacing w:before="43"/>
              <w:ind w:right="465"/>
              <w:rPr>
                <w:sz w:val="18"/>
              </w:rPr>
            </w:pPr>
            <w:r>
              <w:rPr>
                <w:w w:val="105"/>
                <w:sz w:val="18"/>
              </w:rPr>
              <w:t>1,6</w:t>
            </w:r>
          </w:p>
        </w:tc>
        <w:tc>
          <w:tcPr>
            <w:tcW w:w="1164" w:type="dxa"/>
          </w:tcPr>
          <w:p w14:paraId="68AB9F22" w14:textId="77777777" w:rsidR="006800A3" w:rsidRDefault="006800A3" w:rsidP="006D3C40">
            <w:pPr>
              <w:pStyle w:val="TableParagraph"/>
              <w:spacing w:before="43"/>
              <w:ind w:left="413" w:right="40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1,6</w:t>
            </w:r>
          </w:p>
        </w:tc>
        <w:tc>
          <w:tcPr>
            <w:tcW w:w="1172" w:type="dxa"/>
          </w:tcPr>
          <w:p w14:paraId="1B04D9E8" w14:textId="77777777" w:rsidR="006800A3" w:rsidRDefault="006800A3" w:rsidP="006D3C40">
            <w:pPr>
              <w:pStyle w:val="TableParagraph"/>
              <w:spacing w:before="43"/>
              <w:ind w:left="420" w:right="40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1,4</w:t>
            </w:r>
          </w:p>
        </w:tc>
      </w:tr>
      <w:tr w:rsidR="006800A3" w14:paraId="77075061" w14:textId="77777777" w:rsidTr="006800A3">
        <w:trPr>
          <w:trHeight w:val="211"/>
        </w:trPr>
        <w:tc>
          <w:tcPr>
            <w:tcW w:w="3348" w:type="dxa"/>
            <w:tcBorders>
              <w:bottom w:val="single" w:sz="8" w:space="0" w:color="000000"/>
            </w:tcBorders>
          </w:tcPr>
          <w:p w14:paraId="3DA1ABC6" w14:textId="77777777" w:rsidR="006800A3" w:rsidRDefault="006800A3" w:rsidP="006D3C40">
            <w:pPr>
              <w:pStyle w:val="TableParagraph"/>
              <w:spacing w:line="191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Stopa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nezaposlenosti,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anketna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051" w:type="dxa"/>
            <w:tcBorders>
              <w:bottom w:val="single" w:sz="8" w:space="0" w:color="000000"/>
            </w:tcBorders>
          </w:tcPr>
          <w:p w14:paraId="7E4790E9" w14:textId="77777777" w:rsidR="006800A3" w:rsidRDefault="006800A3" w:rsidP="006D3C40">
            <w:pPr>
              <w:pStyle w:val="TableParagraph"/>
              <w:spacing w:line="191" w:lineRule="exact"/>
              <w:ind w:left="33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7,5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14:paraId="1A8F2D83" w14:textId="77777777" w:rsidR="006800A3" w:rsidRDefault="006800A3" w:rsidP="006D3C40">
            <w:pPr>
              <w:pStyle w:val="TableParagraph"/>
              <w:spacing w:line="191" w:lineRule="exact"/>
              <w:ind w:left="45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7,0</w:t>
            </w:r>
          </w:p>
        </w:tc>
        <w:tc>
          <w:tcPr>
            <w:tcW w:w="1176" w:type="dxa"/>
            <w:tcBorders>
              <w:bottom w:val="single" w:sz="8" w:space="0" w:color="000000"/>
            </w:tcBorders>
          </w:tcPr>
          <w:p w14:paraId="01D1BF9A" w14:textId="77777777" w:rsidR="006800A3" w:rsidRDefault="006800A3" w:rsidP="006D3C40">
            <w:pPr>
              <w:pStyle w:val="TableParagraph"/>
              <w:spacing w:line="191" w:lineRule="exact"/>
              <w:ind w:right="464"/>
              <w:rPr>
                <w:sz w:val="18"/>
              </w:rPr>
            </w:pPr>
            <w:r>
              <w:rPr>
                <w:w w:val="105"/>
                <w:sz w:val="18"/>
              </w:rPr>
              <w:t>6,5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66B03595" w14:textId="77777777" w:rsidR="006800A3" w:rsidRDefault="006800A3" w:rsidP="006D3C40">
            <w:pPr>
              <w:pStyle w:val="TableParagraph"/>
              <w:spacing w:line="191" w:lineRule="exact"/>
              <w:ind w:left="413" w:right="39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6,0</w:t>
            </w:r>
          </w:p>
        </w:tc>
        <w:tc>
          <w:tcPr>
            <w:tcW w:w="1172" w:type="dxa"/>
            <w:tcBorders>
              <w:bottom w:val="single" w:sz="8" w:space="0" w:color="000000"/>
            </w:tcBorders>
          </w:tcPr>
          <w:p w14:paraId="11048FA4" w14:textId="77777777" w:rsidR="006800A3" w:rsidRDefault="006800A3" w:rsidP="006D3C40">
            <w:pPr>
              <w:pStyle w:val="TableParagraph"/>
              <w:spacing w:line="191" w:lineRule="exact"/>
              <w:ind w:left="420" w:right="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5,7</w:t>
            </w:r>
          </w:p>
        </w:tc>
      </w:tr>
    </w:tbl>
    <w:p w14:paraId="67791274" w14:textId="2AC5C9CD" w:rsidR="009C3891" w:rsidRDefault="009C3891" w:rsidP="005647B0">
      <w:pPr>
        <w:jc w:val="both"/>
        <w:rPr>
          <w:rFonts w:ascii="Arial" w:hAnsi="Arial" w:cs="Arial"/>
        </w:rPr>
      </w:pPr>
    </w:p>
    <w:p w14:paraId="2694F448" w14:textId="77777777" w:rsidR="009C3891" w:rsidRDefault="009C3891" w:rsidP="009C3891">
      <w:pPr>
        <w:spacing w:before="4"/>
        <w:ind w:left="343"/>
        <w:rPr>
          <w:i/>
          <w:sz w:val="20"/>
        </w:rPr>
      </w:pPr>
      <w:proofErr w:type="spellStart"/>
      <w:r>
        <w:rPr>
          <w:i/>
          <w:sz w:val="20"/>
        </w:rPr>
        <w:t>Izvor</w:t>
      </w:r>
      <w:proofErr w:type="spellEnd"/>
      <w:r>
        <w:rPr>
          <w:i/>
          <w:sz w:val="20"/>
        </w:rPr>
        <w:t xml:space="preserve">: DZS, Ministarstvo </w:t>
      </w:r>
      <w:proofErr w:type="spellStart"/>
      <w:r>
        <w:rPr>
          <w:i/>
          <w:sz w:val="20"/>
        </w:rPr>
        <w:t>financija</w:t>
      </w:r>
      <w:proofErr w:type="spellEnd"/>
    </w:p>
    <w:p w14:paraId="7D64A66C" w14:textId="594DE656" w:rsidR="009C3891" w:rsidRDefault="009C3891" w:rsidP="005647B0">
      <w:pPr>
        <w:jc w:val="both"/>
        <w:rPr>
          <w:rFonts w:ascii="Arial" w:hAnsi="Arial" w:cs="Arial"/>
        </w:rPr>
      </w:pPr>
    </w:p>
    <w:p w14:paraId="1C8A48D6" w14:textId="248B5C09" w:rsidR="009C3891" w:rsidRDefault="0052108C" w:rsidP="005647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Smjernicama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izradu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proračuna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Hrvatske</w:t>
      </w:r>
      <w:proofErr w:type="spellEnd"/>
      <w:r>
        <w:rPr>
          <w:rFonts w:ascii="Arial" w:hAnsi="Arial" w:cs="Arial"/>
        </w:rPr>
        <w:t xml:space="preserve"> za 2022. </w:t>
      </w:r>
      <w:proofErr w:type="spellStart"/>
      <w:r>
        <w:rPr>
          <w:rFonts w:ascii="Arial" w:hAnsi="Arial" w:cs="Arial"/>
        </w:rPr>
        <w:t>godinu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projekcijama</w:t>
      </w:r>
      <w:proofErr w:type="spellEnd"/>
      <w:r>
        <w:rPr>
          <w:rFonts w:ascii="Arial" w:hAnsi="Arial" w:cs="Arial"/>
        </w:rPr>
        <w:t xml:space="preserve"> za 2023.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2024.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se:</w:t>
      </w:r>
    </w:p>
    <w:p w14:paraId="1A44C01A" w14:textId="77777777" w:rsidR="0052108C" w:rsidRDefault="0052108C" w:rsidP="005647B0">
      <w:pPr>
        <w:jc w:val="both"/>
        <w:rPr>
          <w:rFonts w:ascii="Arial" w:hAnsi="Arial" w:cs="Arial"/>
        </w:rPr>
      </w:pPr>
    </w:p>
    <w:p w14:paraId="3F698262" w14:textId="72E281FB" w:rsidR="00037A23" w:rsidRPr="00037A23" w:rsidRDefault="0052108C" w:rsidP="0052108C">
      <w:pPr>
        <w:pStyle w:val="Tijeloteksta"/>
        <w:spacing w:line="276" w:lineRule="auto"/>
        <w:ind w:right="-23"/>
        <w:jc w:val="both"/>
        <w:rPr>
          <w:rFonts w:ascii="Arial" w:eastAsiaTheme="minorHAnsi" w:hAnsi="Arial" w:cs="Arial"/>
          <w:noProof/>
          <w:sz w:val="22"/>
          <w:szCs w:val="22"/>
          <w:lang w:val="en-US" w:eastAsia="en-US" w:bidi="ar-SA"/>
        </w:rPr>
      </w:pPr>
      <w:r>
        <w:rPr>
          <w:rFonts w:ascii="Arial" w:eastAsiaTheme="minorHAnsi" w:hAnsi="Arial" w:cs="Arial"/>
          <w:noProof/>
          <w:sz w:val="22"/>
          <w:szCs w:val="22"/>
          <w:lang w:val="en-US" w:eastAsia="en-US" w:bidi="ar-SA"/>
        </w:rPr>
        <w:t>“</w:t>
      </w:r>
      <w:r w:rsidR="00037A23" w:rsidRPr="00037A23">
        <w:rPr>
          <w:rFonts w:ascii="Arial" w:eastAsiaTheme="minorHAnsi" w:hAnsi="Arial" w:cs="Arial"/>
          <w:noProof/>
          <w:sz w:val="22"/>
          <w:szCs w:val="22"/>
          <w:lang w:val="en-US" w:eastAsia="en-US" w:bidi="ar-SA"/>
        </w:rPr>
        <w:t>Kao posljedica COVID-19 pandemije i mjera uvedenih za njeno suzbijanje, tijekom 2020. godine zaustavljena su pozitivna kretanja ekonomske aktivnosti bilježena tijekom prethodnih pet godina. U 2020. je zabilježen najveći realni pad hrvatskog BDP-a u povijesti od 8,0%. Pritom su i domaća i inozemna potražnja snažno negativno doprinijele kretanju BDP-a, dok je izražen pozitivan doprinos kretanju BDP-a došao od kategorije promjene zaliha.</w:t>
      </w:r>
    </w:p>
    <w:p w14:paraId="04BD6617" w14:textId="76A17D4E" w:rsidR="00037A23" w:rsidRDefault="00037A23" w:rsidP="0052108C">
      <w:pPr>
        <w:ind w:firstLine="426"/>
        <w:jc w:val="both"/>
        <w:rPr>
          <w:rFonts w:ascii="Arial" w:hAnsi="Arial" w:cs="Arial"/>
          <w:noProof/>
        </w:rPr>
      </w:pPr>
      <w:r w:rsidRPr="00037A23">
        <w:rPr>
          <w:rFonts w:ascii="Arial" w:hAnsi="Arial" w:cs="Arial"/>
          <w:noProof/>
        </w:rPr>
        <w:t>U srednjoročnom razdoblju očekuje se snažan oporavak gospodarske aktivnosti koji uključuje i znatne pozitivne učinke N</w:t>
      </w:r>
      <w:r>
        <w:rPr>
          <w:rFonts w:ascii="Arial" w:hAnsi="Arial" w:cs="Arial"/>
          <w:noProof/>
        </w:rPr>
        <w:t xml:space="preserve">acionalnog plana oporavka </w:t>
      </w:r>
      <w:r w:rsidR="0052108C">
        <w:rPr>
          <w:rFonts w:ascii="Arial" w:hAnsi="Arial" w:cs="Arial"/>
          <w:noProof/>
        </w:rPr>
        <w:t>i</w:t>
      </w:r>
      <w:r>
        <w:rPr>
          <w:rFonts w:ascii="Arial" w:hAnsi="Arial" w:cs="Arial"/>
          <w:noProof/>
        </w:rPr>
        <w:t xml:space="preserve"> otpornosti.</w:t>
      </w:r>
      <w:r w:rsidRPr="00037A23">
        <w:rPr>
          <w:rFonts w:ascii="Arial" w:hAnsi="Arial" w:cs="Arial"/>
          <w:noProof/>
        </w:rPr>
        <w:t xml:space="preserve"> Procijenjeni makroekonomski utjecaj NPOO-a upućuje na ubrzanje stope rasta BDP-a u odnosu na osnovni scenarij od 0,3 postotnih bodova u 2021., te gotovo 1,5 postotnih bodova u 2022. i 2023. kada je učinak i najsnažniji. Tako se u 2021. godini predviđa realni rast BDP-a od 5,2%, koji će potom ubrzati na 6,6% u 2022., dok će u 2023. i 2024. godini realni rast BDP-a iznositi 4,1%, odnosno 3,4%.</w:t>
      </w:r>
    </w:p>
    <w:p w14:paraId="7E431043" w14:textId="2C5114BF" w:rsidR="00037A23" w:rsidRPr="00037A23" w:rsidRDefault="00037A23" w:rsidP="0052108C">
      <w:pPr>
        <w:ind w:firstLine="426"/>
        <w:jc w:val="both"/>
        <w:rPr>
          <w:rFonts w:ascii="Arial" w:hAnsi="Arial" w:cs="Arial"/>
          <w:noProof/>
        </w:rPr>
      </w:pPr>
      <w:r w:rsidRPr="00037A23">
        <w:rPr>
          <w:rFonts w:ascii="Arial" w:hAnsi="Arial" w:cs="Arial"/>
          <w:noProof/>
        </w:rPr>
        <w:t xml:space="preserve">Inflacija se tijekom 2020. kretala na niskim razinama te je zabilježila prosječnu stopu od 0,1%, usporivši nakon inflacije od 0,8% ostvarene u 2019. godini. Predviđa se da će rast potrošačkih cijena u 2021. godini snažno ubrzati te će iznositi 2,0%, čemu će najjače doprinijeti izraženo povećanje cijena energije, uslijed rasta cijena nafte na svjetskom tržištu. Nadalje, </w:t>
      </w:r>
      <w:r w:rsidRPr="00037A23">
        <w:rPr>
          <w:rFonts w:ascii="Arial" w:hAnsi="Arial" w:cs="Arial"/>
          <w:noProof/>
        </w:rPr>
        <w:lastRenderedPageBreak/>
        <w:t>snažan doprinos inflaciji doći će i od ubrzanja rasta potrošačkih cijena koje isključuju hranu i energiju.</w:t>
      </w:r>
    </w:p>
    <w:p w14:paraId="6A3B9A12" w14:textId="1D662692" w:rsidR="00037A23" w:rsidRPr="00037A23" w:rsidRDefault="00037A23" w:rsidP="00037A23">
      <w:pPr>
        <w:ind w:firstLine="426"/>
        <w:jc w:val="both"/>
        <w:rPr>
          <w:rFonts w:ascii="Arial" w:hAnsi="Arial" w:cs="Arial"/>
          <w:noProof/>
        </w:rPr>
      </w:pPr>
      <w:r w:rsidRPr="00037A23">
        <w:rPr>
          <w:rFonts w:ascii="Arial" w:hAnsi="Arial" w:cs="Arial"/>
          <w:noProof/>
        </w:rPr>
        <w:t>U 2022. godini očekuje se usporavanje inflacije na 1,7%, uslijed nižeg doprinosa cijena energije, dok će rast potrošačkih cijena bez energije zabilježiti ubrzanje. U ostatku projekcijskog razdoblja se očekuje postupno ubrzanje inflacije na razine od 2,0% u 2023. i 2,3% u 2024. godini, u uvjetima očekivanog rasta potrošnje kućanstava i povećanja inflacije u eurozoni</w:t>
      </w:r>
      <w:r w:rsidR="0052108C">
        <w:rPr>
          <w:rFonts w:ascii="Arial" w:hAnsi="Arial" w:cs="Arial"/>
          <w:noProof/>
        </w:rPr>
        <w:t>.”</w:t>
      </w:r>
    </w:p>
    <w:p w14:paraId="2FB7DE69" w14:textId="77777777" w:rsidR="009C3891" w:rsidRDefault="009C3891" w:rsidP="005647B0">
      <w:pPr>
        <w:ind w:firstLine="426"/>
        <w:jc w:val="both"/>
        <w:rPr>
          <w:rFonts w:ascii="Arial" w:hAnsi="Arial" w:cs="Arial"/>
          <w:b/>
        </w:rPr>
      </w:pPr>
    </w:p>
    <w:p w14:paraId="0B064F49" w14:textId="77777777" w:rsidR="00CC0A44" w:rsidRDefault="00CC0A44" w:rsidP="00C563D1">
      <w:pPr>
        <w:jc w:val="center"/>
        <w:rPr>
          <w:rFonts w:ascii="Arial" w:hAnsi="Arial" w:cs="Arial"/>
          <w:b/>
          <w:noProof/>
        </w:rPr>
      </w:pPr>
    </w:p>
    <w:p w14:paraId="0C1C647C" w14:textId="77777777" w:rsidR="00C80E14" w:rsidRDefault="00C563D1" w:rsidP="00C563D1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2. OPIS PLANIRANIH POLITIKA GRADA GAREŠNICA</w:t>
      </w:r>
    </w:p>
    <w:p w14:paraId="3847AF08" w14:textId="77777777" w:rsidR="00C563D1" w:rsidRDefault="00C563D1" w:rsidP="00C563D1">
      <w:pPr>
        <w:jc w:val="center"/>
        <w:rPr>
          <w:rFonts w:ascii="Arial" w:hAnsi="Arial" w:cs="Arial"/>
          <w:b/>
          <w:noProof/>
        </w:rPr>
      </w:pPr>
    </w:p>
    <w:p w14:paraId="31129269" w14:textId="77777777" w:rsidR="00C563D1" w:rsidRDefault="00C563D1" w:rsidP="00C563D1">
      <w:pPr>
        <w:jc w:val="both"/>
        <w:rPr>
          <w:rFonts w:ascii="Arial" w:hAnsi="Arial" w:cs="Arial"/>
          <w:b/>
          <w:noProof/>
        </w:rPr>
      </w:pPr>
    </w:p>
    <w:p w14:paraId="30878B14" w14:textId="0B1FF22A" w:rsidR="00C563D1" w:rsidRDefault="00C563D1" w:rsidP="00C563D1">
      <w:pPr>
        <w:ind w:firstLine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Osnovni strateški ciljevi u provođenju politika Grada Garešnica, čije je ostvarivanje u funkciji razvoja cjelokupnog područja kao i porasta životnog standarda građana su:</w:t>
      </w:r>
    </w:p>
    <w:p w14:paraId="6399F16C" w14:textId="23CFB6F8" w:rsidR="006D3C72" w:rsidRDefault="006D3C72" w:rsidP="00C563D1">
      <w:pPr>
        <w:ind w:firstLine="567"/>
        <w:jc w:val="both"/>
        <w:rPr>
          <w:rFonts w:ascii="Arial" w:hAnsi="Arial" w:cs="Arial"/>
          <w:noProof/>
        </w:rPr>
      </w:pPr>
    </w:p>
    <w:p w14:paraId="7A8692DA" w14:textId="77777777" w:rsidR="006D3C72" w:rsidRPr="006D3C72" w:rsidRDefault="006D3C72" w:rsidP="006D3C72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81"/>
        <w:ind w:left="0" w:firstLine="0"/>
        <w:contextualSpacing w:val="0"/>
        <w:jc w:val="both"/>
        <w:rPr>
          <w:rFonts w:ascii="Arial" w:hAnsi="Arial" w:cs="Arial"/>
          <w:noProof/>
        </w:rPr>
      </w:pPr>
      <w:r w:rsidRPr="006D3C72">
        <w:rPr>
          <w:rFonts w:ascii="Arial" w:hAnsi="Arial" w:cs="Arial"/>
          <w:noProof/>
        </w:rPr>
        <w:t>Stvaranje uvjeta za konkurentno gospodarstvo s posebnim naglaskom na unaprjeđenje poslovne infrastrukture, poduzetničkog okruženja, unaprjeđenje i razvoj konkurentne poljoprivrede i turizma te povećanje korištenja novih tehnologija, inovacija i znanja u gospodarstvu.</w:t>
      </w:r>
    </w:p>
    <w:p w14:paraId="7F0AB1B1" w14:textId="77777777" w:rsidR="006D3C72" w:rsidRPr="006D3C72" w:rsidRDefault="006D3C72" w:rsidP="006D3C72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4"/>
        <w:ind w:left="0" w:firstLine="0"/>
        <w:contextualSpacing w:val="0"/>
        <w:jc w:val="both"/>
        <w:rPr>
          <w:rFonts w:ascii="Arial" w:hAnsi="Arial" w:cs="Arial"/>
          <w:noProof/>
        </w:rPr>
      </w:pPr>
      <w:r w:rsidRPr="006D3C72">
        <w:rPr>
          <w:rFonts w:ascii="Arial" w:hAnsi="Arial" w:cs="Arial"/>
          <w:noProof/>
        </w:rPr>
        <w:t>Unaprjeđenja infrastrukturnog sustav kroz javnu i društvenu infrastrukturu te prostorno planiranje.</w:t>
      </w:r>
    </w:p>
    <w:p w14:paraId="584FBF59" w14:textId="77777777" w:rsidR="006D3C72" w:rsidRPr="006D3C72" w:rsidRDefault="006D3C72" w:rsidP="006D3C72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10"/>
        <w:ind w:left="0" w:firstLine="0"/>
        <w:contextualSpacing w:val="0"/>
        <w:jc w:val="both"/>
        <w:rPr>
          <w:rFonts w:ascii="Arial" w:hAnsi="Arial" w:cs="Arial"/>
          <w:noProof/>
        </w:rPr>
      </w:pPr>
      <w:r w:rsidRPr="006D3C72">
        <w:rPr>
          <w:rFonts w:ascii="Arial" w:hAnsi="Arial" w:cs="Arial"/>
          <w:noProof/>
        </w:rPr>
        <w:t>Unaprjeđenje kvalitete života poticanjem obrazovanja za bolju zapošljivost, jačanjem uloge civilnog društva, obnovom i očuvanjem kulturne baštine te razvojem partnerstva i suradnje.</w:t>
      </w:r>
    </w:p>
    <w:p w14:paraId="066C907A" w14:textId="77777777" w:rsidR="006D3C72" w:rsidRPr="006D3C72" w:rsidRDefault="006D3C72" w:rsidP="006D3C72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4"/>
        <w:ind w:left="0" w:firstLine="0"/>
        <w:contextualSpacing w:val="0"/>
        <w:jc w:val="both"/>
        <w:rPr>
          <w:rFonts w:ascii="Arial" w:hAnsi="Arial" w:cs="Arial"/>
          <w:noProof/>
        </w:rPr>
      </w:pPr>
      <w:r w:rsidRPr="006D3C72">
        <w:rPr>
          <w:rFonts w:ascii="Arial" w:hAnsi="Arial" w:cs="Arial"/>
          <w:noProof/>
        </w:rPr>
        <w:t>Povećanje efikasnog upravljanja resursima funkcionalnim upravljanjem gradom, održivim korištenjem prostora grada i gradske imovine, održivim upravljanjem energijom i OIE te zaštitom prirode i ekologijom.</w:t>
      </w:r>
    </w:p>
    <w:p w14:paraId="4B9D3A15" w14:textId="6B9C5ED1" w:rsidR="003325A9" w:rsidRDefault="003325A9" w:rsidP="006D3C72">
      <w:pPr>
        <w:jc w:val="both"/>
        <w:rPr>
          <w:rFonts w:ascii="Arial" w:hAnsi="Arial" w:cs="Arial"/>
          <w:noProof/>
        </w:rPr>
      </w:pPr>
    </w:p>
    <w:p w14:paraId="68EE6F6F" w14:textId="77777777" w:rsidR="006D3C72" w:rsidRDefault="006D3C72" w:rsidP="006D3C72">
      <w:pPr>
        <w:jc w:val="both"/>
        <w:rPr>
          <w:rFonts w:ascii="Arial" w:hAnsi="Arial" w:cs="Arial"/>
          <w:noProof/>
        </w:rPr>
      </w:pPr>
    </w:p>
    <w:p w14:paraId="69CA1C8E" w14:textId="77777777" w:rsidR="003325A9" w:rsidRDefault="003325A9" w:rsidP="003325A9">
      <w:pPr>
        <w:ind w:firstLine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 cilju ostvarivanja strateških ciljeva planirano je niz gradskih projekata koji se kandidiraju za (su)financiranje iz europskih fondova</w:t>
      </w:r>
      <w:r w:rsidR="00C25617">
        <w:rPr>
          <w:rFonts w:ascii="Arial" w:hAnsi="Arial" w:cs="Arial"/>
          <w:noProof/>
        </w:rPr>
        <w:t>, programa ministarstava RH i drugih izvora financiranja gradskog proračuna.</w:t>
      </w:r>
    </w:p>
    <w:p w14:paraId="09B66721" w14:textId="77777777" w:rsidR="00C25617" w:rsidRDefault="00C25617" w:rsidP="003325A9">
      <w:pPr>
        <w:ind w:firstLine="567"/>
        <w:jc w:val="both"/>
        <w:rPr>
          <w:rFonts w:ascii="Arial" w:hAnsi="Arial" w:cs="Arial"/>
          <w:noProof/>
        </w:rPr>
      </w:pPr>
    </w:p>
    <w:p w14:paraId="359F13E9" w14:textId="77777777" w:rsidR="00F66940" w:rsidRDefault="00F66940" w:rsidP="003325A9">
      <w:pPr>
        <w:ind w:firstLine="567"/>
        <w:jc w:val="both"/>
        <w:rPr>
          <w:rFonts w:ascii="Arial" w:hAnsi="Arial" w:cs="Arial"/>
          <w:noProof/>
        </w:rPr>
      </w:pPr>
    </w:p>
    <w:p w14:paraId="32CBB0F4" w14:textId="77777777" w:rsidR="00AE3F9D" w:rsidRDefault="00AE3F9D" w:rsidP="003325A9">
      <w:pPr>
        <w:ind w:firstLine="567"/>
        <w:jc w:val="both"/>
        <w:rPr>
          <w:rFonts w:ascii="Arial" w:hAnsi="Arial" w:cs="Arial"/>
          <w:noProof/>
        </w:rPr>
      </w:pPr>
    </w:p>
    <w:p w14:paraId="4B505C47" w14:textId="77777777" w:rsidR="00F66940" w:rsidRDefault="00F66940" w:rsidP="003325A9">
      <w:pPr>
        <w:ind w:firstLine="567"/>
        <w:jc w:val="both"/>
        <w:rPr>
          <w:rFonts w:ascii="Arial" w:hAnsi="Arial" w:cs="Arial"/>
          <w:noProof/>
        </w:rPr>
      </w:pPr>
    </w:p>
    <w:p w14:paraId="64F0EF40" w14:textId="77777777" w:rsidR="00BE2188" w:rsidRPr="0081779E" w:rsidRDefault="00C25617" w:rsidP="00BE2188">
      <w:pPr>
        <w:pStyle w:val="Odlomakpopisa"/>
        <w:ind w:left="851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b/>
          <w:noProof/>
        </w:rPr>
        <w:t xml:space="preserve">3. </w:t>
      </w:r>
      <w:r w:rsidR="00BE2188" w:rsidRPr="00BE2188">
        <w:rPr>
          <w:rFonts w:ascii="Arial" w:hAnsi="Arial" w:cs="Arial"/>
          <w:b/>
          <w:bCs/>
          <w:lang w:val="hr-HR"/>
        </w:rPr>
        <w:t>PROCJENA PRIHODA I RASHODA TE PRIMITAKA I IZDATAKA PRORAČUNA GRADA GAREŠNICA U SLIJEDEĆE TRI GODINE</w:t>
      </w:r>
    </w:p>
    <w:p w14:paraId="0A1753D4" w14:textId="77777777" w:rsidR="00C25617" w:rsidRDefault="00C25617" w:rsidP="00C25617">
      <w:pPr>
        <w:ind w:firstLine="567"/>
        <w:jc w:val="center"/>
        <w:rPr>
          <w:rFonts w:ascii="Arial" w:hAnsi="Arial" w:cs="Arial"/>
          <w:b/>
          <w:noProof/>
        </w:rPr>
      </w:pPr>
    </w:p>
    <w:p w14:paraId="3BF79CDF" w14:textId="77777777" w:rsidR="00AE3F9D" w:rsidRPr="00C25617" w:rsidRDefault="00AE3F9D" w:rsidP="00C25617">
      <w:pPr>
        <w:ind w:firstLine="567"/>
        <w:jc w:val="center"/>
        <w:rPr>
          <w:rFonts w:ascii="Arial" w:hAnsi="Arial" w:cs="Arial"/>
          <w:b/>
          <w:noProof/>
        </w:rPr>
      </w:pPr>
    </w:p>
    <w:p w14:paraId="2549DAF9" w14:textId="77777777" w:rsidR="00601120" w:rsidRDefault="00601120" w:rsidP="00444FD7">
      <w:pPr>
        <w:ind w:firstLine="567"/>
        <w:jc w:val="both"/>
        <w:rPr>
          <w:rFonts w:ascii="Arial" w:hAnsi="Arial" w:cs="Arial"/>
          <w:noProof/>
        </w:rPr>
      </w:pPr>
    </w:p>
    <w:p w14:paraId="1D6252A2" w14:textId="6AAD7840" w:rsidR="000D25E0" w:rsidRDefault="0043450B" w:rsidP="00444FD7">
      <w:pPr>
        <w:ind w:firstLine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Najvažniji prihod</w:t>
      </w:r>
      <w:r w:rsidR="00601120" w:rsidRPr="00601120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Grada Garešnica</w:t>
      </w:r>
      <w:r w:rsidR="000C2382">
        <w:rPr>
          <w:rFonts w:ascii="Arial" w:hAnsi="Arial" w:cs="Arial"/>
          <w:noProof/>
        </w:rPr>
        <w:t xml:space="preserve"> je</w:t>
      </w:r>
      <w:r w:rsidR="000D25E0">
        <w:rPr>
          <w:rFonts w:ascii="Arial" w:hAnsi="Arial" w:cs="Arial"/>
          <w:noProof/>
        </w:rPr>
        <w:t xml:space="preserve"> </w:t>
      </w:r>
      <w:r w:rsidR="000C2382">
        <w:rPr>
          <w:rFonts w:ascii="Arial" w:hAnsi="Arial" w:cs="Arial"/>
          <w:noProof/>
        </w:rPr>
        <w:t>prihod</w:t>
      </w:r>
      <w:r w:rsidR="00640256">
        <w:rPr>
          <w:rFonts w:ascii="Arial" w:hAnsi="Arial" w:cs="Arial"/>
          <w:noProof/>
        </w:rPr>
        <w:t xml:space="preserve"> od poreza i prireza n</w:t>
      </w:r>
      <w:r w:rsidR="000C2382">
        <w:rPr>
          <w:rFonts w:ascii="Arial" w:hAnsi="Arial" w:cs="Arial"/>
          <w:noProof/>
        </w:rPr>
        <w:t>a dohodak</w:t>
      </w:r>
      <w:r w:rsidR="00C55179">
        <w:rPr>
          <w:rFonts w:ascii="Arial" w:hAnsi="Arial" w:cs="Arial"/>
          <w:noProof/>
        </w:rPr>
        <w:t xml:space="preserve"> </w:t>
      </w:r>
      <w:r w:rsidR="000C2382">
        <w:rPr>
          <w:rFonts w:ascii="Arial" w:hAnsi="Arial" w:cs="Arial"/>
          <w:noProof/>
        </w:rPr>
        <w:t xml:space="preserve">koji </w:t>
      </w:r>
      <w:r w:rsidR="007A2198">
        <w:rPr>
          <w:rFonts w:ascii="Arial" w:hAnsi="Arial" w:cs="Arial"/>
          <w:noProof/>
        </w:rPr>
        <w:t>je planiran za 202</w:t>
      </w:r>
      <w:r w:rsidR="00E23D01">
        <w:rPr>
          <w:rFonts w:ascii="Arial" w:hAnsi="Arial" w:cs="Arial"/>
          <w:noProof/>
        </w:rPr>
        <w:t>1</w:t>
      </w:r>
      <w:r w:rsidR="003E5426">
        <w:rPr>
          <w:rFonts w:ascii="Arial" w:hAnsi="Arial" w:cs="Arial"/>
          <w:noProof/>
        </w:rPr>
        <w:t>.</w:t>
      </w:r>
      <w:r w:rsidR="00640256">
        <w:rPr>
          <w:rFonts w:ascii="Arial" w:hAnsi="Arial" w:cs="Arial"/>
          <w:noProof/>
        </w:rPr>
        <w:t xml:space="preserve"> </w:t>
      </w:r>
      <w:r w:rsidR="007A2198">
        <w:rPr>
          <w:rFonts w:ascii="Arial" w:hAnsi="Arial" w:cs="Arial"/>
          <w:noProof/>
        </w:rPr>
        <w:t>g</w:t>
      </w:r>
      <w:r w:rsidR="00640256">
        <w:rPr>
          <w:rFonts w:ascii="Arial" w:hAnsi="Arial" w:cs="Arial"/>
          <w:noProof/>
        </w:rPr>
        <w:t>odine</w:t>
      </w:r>
      <w:r w:rsidR="007A2198">
        <w:rPr>
          <w:rFonts w:ascii="Arial" w:hAnsi="Arial" w:cs="Arial"/>
          <w:noProof/>
        </w:rPr>
        <w:t xml:space="preserve"> u </w:t>
      </w:r>
      <w:r w:rsidR="00640256">
        <w:rPr>
          <w:rFonts w:ascii="Arial" w:hAnsi="Arial" w:cs="Arial"/>
          <w:noProof/>
        </w:rPr>
        <w:t xml:space="preserve"> </w:t>
      </w:r>
      <w:r w:rsidR="00C55179">
        <w:rPr>
          <w:rFonts w:ascii="Arial" w:hAnsi="Arial" w:cs="Arial"/>
          <w:noProof/>
        </w:rPr>
        <w:t>iznos</w:t>
      </w:r>
      <w:r w:rsidR="007A2198">
        <w:rPr>
          <w:rFonts w:ascii="Arial" w:hAnsi="Arial" w:cs="Arial"/>
          <w:noProof/>
        </w:rPr>
        <w:t xml:space="preserve">u od </w:t>
      </w:r>
      <w:r w:rsidR="000D2466">
        <w:rPr>
          <w:rFonts w:ascii="Arial" w:hAnsi="Arial" w:cs="Arial"/>
          <w:noProof/>
        </w:rPr>
        <w:t>11.0</w:t>
      </w:r>
      <w:r w:rsidR="007A2198">
        <w:rPr>
          <w:rFonts w:ascii="Arial" w:hAnsi="Arial" w:cs="Arial"/>
          <w:noProof/>
        </w:rPr>
        <w:t>00.000,00</w:t>
      </w:r>
      <w:r w:rsidR="00C55179">
        <w:rPr>
          <w:rFonts w:ascii="Arial" w:hAnsi="Arial" w:cs="Arial"/>
          <w:noProof/>
        </w:rPr>
        <w:t xml:space="preserve"> kuna</w:t>
      </w:r>
      <w:r w:rsidR="00127FA9">
        <w:rPr>
          <w:rFonts w:ascii="Arial" w:hAnsi="Arial" w:cs="Arial"/>
          <w:noProof/>
        </w:rPr>
        <w:t>, a izvršenje istog u 20</w:t>
      </w:r>
      <w:r w:rsidR="000D2466">
        <w:rPr>
          <w:rFonts w:ascii="Arial" w:hAnsi="Arial" w:cs="Arial"/>
          <w:noProof/>
        </w:rPr>
        <w:t>20</w:t>
      </w:r>
      <w:r w:rsidR="00127FA9">
        <w:rPr>
          <w:rFonts w:ascii="Arial" w:hAnsi="Arial" w:cs="Arial"/>
          <w:noProof/>
        </w:rPr>
        <w:t xml:space="preserve">. godini iznosi </w:t>
      </w:r>
      <w:r w:rsidR="00C55179">
        <w:rPr>
          <w:rFonts w:ascii="Arial" w:hAnsi="Arial" w:cs="Arial"/>
          <w:noProof/>
        </w:rPr>
        <w:t xml:space="preserve"> </w:t>
      </w:r>
      <w:r w:rsidR="000D2466">
        <w:rPr>
          <w:rFonts w:ascii="Arial" w:hAnsi="Arial" w:cs="Arial"/>
          <w:noProof/>
        </w:rPr>
        <w:t>8.242.391,62</w:t>
      </w:r>
      <w:r w:rsidR="00127FA9" w:rsidRPr="003E5426">
        <w:rPr>
          <w:rFonts w:ascii="Arial" w:hAnsi="Arial" w:cs="Arial"/>
          <w:noProof/>
          <w:color w:val="FF0000"/>
        </w:rPr>
        <w:t xml:space="preserve"> </w:t>
      </w:r>
      <w:r w:rsidR="00127FA9">
        <w:rPr>
          <w:rFonts w:ascii="Arial" w:hAnsi="Arial" w:cs="Arial"/>
          <w:noProof/>
        </w:rPr>
        <w:t>kun</w:t>
      </w:r>
      <w:r w:rsidR="000D2466">
        <w:rPr>
          <w:rFonts w:ascii="Arial" w:hAnsi="Arial" w:cs="Arial"/>
          <w:noProof/>
        </w:rPr>
        <w:t>e</w:t>
      </w:r>
      <w:r w:rsidR="00127FA9">
        <w:rPr>
          <w:rFonts w:ascii="Arial" w:hAnsi="Arial" w:cs="Arial"/>
          <w:noProof/>
        </w:rPr>
        <w:t>.</w:t>
      </w:r>
      <w:r w:rsidR="007A2198">
        <w:rPr>
          <w:rFonts w:ascii="Arial" w:hAnsi="Arial" w:cs="Arial"/>
          <w:noProof/>
        </w:rPr>
        <w:t xml:space="preserve"> </w:t>
      </w:r>
    </w:p>
    <w:p w14:paraId="2D66C530" w14:textId="50A83652" w:rsidR="00C3338D" w:rsidRDefault="00C3338D" w:rsidP="00444FD7">
      <w:pPr>
        <w:ind w:firstLine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Sukladno Uputi Ministarstva financija o evidentiranju prihoda od poreza na dohodak kod jedinica lokalne i područne (regionalne) samouprave temeljem izvještaja koje ispostavlja Fina KLASA: 400-02/21-01/66 od 25. kolovoza 2021. godine potrebno je planirati prihode od poreza na dohodak u iznosu od </w:t>
      </w:r>
      <w:r w:rsidR="007E098D">
        <w:rPr>
          <w:rFonts w:ascii="Arial" w:hAnsi="Arial" w:cs="Arial"/>
          <w:noProof/>
        </w:rPr>
        <w:t>9</w:t>
      </w:r>
      <w:r>
        <w:rPr>
          <w:rFonts w:ascii="Arial" w:hAnsi="Arial" w:cs="Arial"/>
          <w:noProof/>
        </w:rPr>
        <w:t xml:space="preserve">.000.000,00 kuna te istovremeno 1.000.000,00 kuna primitaka </w:t>
      </w:r>
      <w:r w:rsidR="00542244">
        <w:rPr>
          <w:rFonts w:ascii="Arial" w:hAnsi="Arial" w:cs="Arial"/>
          <w:noProof/>
        </w:rPr>
        <w:t>od primljenih za</w:t>
      </w:r>
      <w:r w:rsidR="0050660F">
        <w:rPr>
          <w:rFonts w:ascii="Arial" w:hAnsi="Arial" w:cs="Arial"/>
          <w:noProof/>
        </w:rPr>
        <w:t>j</w:t>
      </w:r>
      <w:r w:rsidR="00542244">
        <w:rPr>
          <w:rFonts w:ascii="Arial" w:hAnsi="Arial" w:cs="Arial"/>
          <w:noProof/>
        </w:rPr>
        <w:t>mova od državnog proračuna – kratkoročni.</w:t>
      </w:r>
    </w:p>
    <w:p w14:paraId="5C2D5A84" w14:textId="61109D02" w:rsidR="004720AD" w:rsidRDefault="004720AD" w:rsidP="004720AD">
      <w:pPr>
        <w:jc w:val="both"/>
        <w:rPr>
          <w:rFonts w:ascii="Arial" w:hAnsi="Arial" w:cs="Arial"/>
          <w:noProof/>
        </w:rPr>
      </w:pPr>
    </w:p>
    <w:p w14:paraId="55643D34" w14:textId="0D341F54" w:rsidR="00C3338D" w:rsidRDefault="00C3338D" w:rsidP="004720AD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Tablica 2. Pregled prihoda Grada Garešnice kroz godine</w:t>
      </w: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3578"/>
        <w:gridCol w:w="1842"/>
        <w:gridCol w:w="1843"/>
        <w:gridCol w:w="1985"/>
      </w:tblGrid>
      <w:tr w:rsidR="00641322" w:rsidRPr="00641322" w14:paraId="38A1D6DA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D4283F" w14:textId="77777777" w:rsidR="00641322" w:rsidRPr="00641322" w:rsidRDefault="00641322" w:rsidP="006D3C4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Račun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/ </w:t>
            </w: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opis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18B103" w14:textId="77777777" w:rsidR="00641322" w:rsidRPr="00641322" w:rsidRDefault="00641322" w:rsidP="006D3C4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2019.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4B7571" w14:textId="2259A0FC" w:rsidR="00641322" w:rsidRPr="00641322" w:rsidRDefault="00641322" w:rsidP="006D3C4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2020.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E5301E" w14:textId="1660E7F3" w:rsidR="00641322" w:rsidRPr="00641322" w:rsidRDefault="00641322" w:rsidP="006D3C4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Tekući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plan 2021.</w:t>
            </w:r>
          </w:p>
        </w:tc>
      </w:tr>
      <w:tr w:rsidR="00641322" w:rsidRPr="00641322" w14:paraId="5D3AF98B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BC2F08" w14:textId="77777777" w:rsidR="00641322" w:rsidRPr="00641322" w:rsidRDefault="00641322" w:rsidP="006D3C4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650478" w14:textId="77777777" w:rsidR="00641322" w:rsidRPr="00641322" w:rsidRDefault="00641322" w:rsidP="006D3C4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696323" w14:textId="77777777" w:rsidR="00641322" w:rsidRPr="00641322" w:rsidRDefault="00641322" w:rsidP="006D3C4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0CECA4" w14:textId="77777777" w:rsidR="00641322" w:rsidRPr="00641322" w:rsidRDefault="00641322" w:rsidP="006D3C40">
            <w:pPr>
              <w:jc w:val="center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641322" w:rsidRPr="00641322" w14:paraId="21268262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8442F5" w14:textId="77777777" w:rsidR="00641322" w:rsidRPr="00641322" w:rsidRDefault="00641322" w:rsidP="006D3C40">
            <w:pPr>
              <w:rPr>
                <w:rFonts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097556" w14:textId="2014194E" w:rsidR="00641322" w:rsidRPr="00641322" w:rsidRDefault="00E8408A" w:rsidP="006D3C40">
            <w:pPr>
              <w:jc w:val="right"/>
              <w:rPr>
                <w:rFonts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color w:val="FFFFFF"/>
                <w:sz w:val="16"/>
                <w:szCs w:val="16"/>
                <w:lang w:eastAsia="hr-HR"/>
              </w:rPr>
              <w:t>57.881.310,83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E75742" w14:textId="5F3B76D8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color w:val="FFFFFF"/>
                <w:sz w:val="16"/>
                <w:szCs w:val="16"/>
                <w:lang w:eastAsia="hr-HR"/>
              </w:rPr>
              <w:t>53.049.855,80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0B51EC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color w:val="FFFFFF"/>
                <w:sz w:val="16"/>
                <w:szCs w:val="16"/>
                <w:lang w:eastAsia="hr-HR"/>
              </w:rPr>
              <w:t>58.370.049,88</w:t>
            </w:r>
          </w:p>
        </w:tc>
      </w:tr>
      <w:tr w:rsidR="00641322" w:rsidRPr="00641322" w14:paraId="385178F9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649F19" w14:textId="77777777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387671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26.804.971,36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24D0A0" w14:textId="316291DB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24.020.888,49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646278" w14:textId="185C3013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11.990.300,00</w:t>
            </w:r>
          </w:p>
        </w:tc>
      </w:tr>
      <w:tr w:rsidR="00641322" w:rsidRPr="00641322" w14:paraId="3FD3AFFE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E9EFB4" w14:textId="2D38B03D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3. VLASTITI PRIHODI - GRAD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9DA449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420.865,91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B43A77" w14:textId="060FB1F1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665.623,49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33DF0B" w14:textId="27A095B4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550.000,00</w:t>
            </w:r>
          </w:p>
        </w:tc>
      </w:tr>
      <w:tr w:rsidR="00641322" w:rsidRPr="00641322" w14:paraId="1BE6EA43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A2A5EE" w14:textId="77777777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C47860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4.375.157,91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4AB758" w14:textId="4070BCED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4.240.903,34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6874DA" w14:textId="44295DB8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5.595.000,00</w:t>
            </w:r>
          </w:p>
        </w:tc>
      </w:tr>
      <w:tr w:rsidR="00641322" w:rsidRPr="00641322" w14:paraId="652067E3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E66629" w14:textId="77777777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5. POMOĆI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EA1CD9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25.931.302,95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615E2B" w14:textId="66DB1CF2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23.111.329,10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6646FB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26.504.639,88</w:t>
            </w:r>
          </w:p>
        </w:tc>
      </w:tr>
      <w:tr w:rsidR="00641322" w:rsidRPr="00641322" w14:paraId="2DFF3994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572B" w14:textId="77777777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lastRenderedPageBreak/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5.1. ŽUPANIJSKI PRORAČUN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CF16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287.996,82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36E4" w14:textId="68A0BDAA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179.300,00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8FA3" w14:textId="512593AD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560.000,00</w:t>
            </w:r>
          </w:p>
        </w:tc>
      </w:tr>
      <w:tr w:rsidR="00641322" w:rsidRPr="00641322" w14:paraId="0661EA38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C93C" w14:textId="77777777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5.2. DRŽAVNI PRORAČUN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D00C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4.209.814,79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409D" w14:textId="26995DB1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6.577.416,88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A239" w14:textId="089528CC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12.950.000,00</w:t>
            </w:r>
          </w:p>
        </w:tc>
      </w:tr>
      <w:tr w:rsidR="00641322" w:rsidRPr="00641322" w14:paraId="60B1E5D7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18B1" w14:textId="03F40C59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5.2. DRŽAVNI PROR. – SRED.IZRAVNA</w:t>
            </w: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40E6" w14:textId="7C47CC10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A87A" w14:textId="0B182BFD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F99A" w14:textId="30D8F2B4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15.000.000,00</w:t>
            </w:r>
          </w:p>
        </w:tc>
      </w:tr>
      <w:tr w:rsidR="00641322" w:rsidRPr="00641322" w14:paraId="191957AF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5DFF" w14:textId="77777777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5.3. IZVANPRORAČUNSKI KORISNICI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C0E6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290.678,31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196A" w14:textId="4693DC26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18.450,43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B388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18.800,00</w:t>
            </w:r>
          </w:p>
        </w:tc>
      </w:tr>
      <w:tr w:rsidR="00641322" w:rsidRPr="00641322" w14:paraId="0F9663BF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209A" w14:textId="77777777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5.4. INSTITUCIJE I TIJELA EU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A696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20.880.582,90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9EE2" w14:textId="7FD40FA7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15.121.124,22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2E81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17.575.839,88</w:t>
            </w:r>
          </w:p>
        </w:tc>
      </w:tr>
      <w:tr w:rsidR="00641322" w:rsidRPr="00641322" w14:paraId="12292BFC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3945" w14:textId="77777777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5.5. OPĆINSKI PRORAČUN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1D1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262.230,13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D263" w14:textId="11C330C9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1.215.037,57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1CB8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1.260.000,00</w:t>
            </w:r>
          </w:p>
        </w:tc>
      </w:tr>
      <w:tr w:rsidR="00641322" w:rsidRPr="00641322" w14:paraId="1DA7CAF5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02D57D" w14:textId="77777777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6. DONACIJE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C51948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679A94" w14:textId="304042AF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7</w:t>
            </w:r>
            <w:r w:rsidR="00641322"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0.000,00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A1D4D0" w14:textId="7D51AEFD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8</w:t>
            </w:r>
            <w:r w:rsidR="00641322"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0.000,00</w:t>
            </w:r>
          </w:p>
        </w:tc>
      </w:tr>
      <w:tr w:rsidR="00641322" w:rsidRPr="00641322" w14:paraId="62C7B252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30DB62" w14:textId="77777777" w:rsidR="00641322" w:rsidRPr="00641322" w:rsidRDefault="00641322" w:rsidP="006D3C40">
            <w:pPr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Izvor</w:t>
            </w:r>
            <w:proofErr w:type="spellEnd"/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 xml:space="preserve"> 7. PRIHODI OD PRODAJE NEF.IMOVINE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5D1418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 w:rsidRPr="00641322"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289.012,70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D8C039" w14:textId="7CFCD440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941.111,38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532CF1" w14:textId="01C3B705" w:rsidR="00641322" w:rsidRPr="00641322" w:rsidRDefault="002A79B3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hr-HR"/>
              </w:rPr>
              <w:t>3.914.000,00</w:t>
            </w:r>
          </w:p>
        </w:tc>
      </w:tr>
      <w:tr w:rsidR="00641322" w:rsidRPr="00641322" w14:paraId="163BDD46" w14:textId="77777777" w:rsidTr="00E8408A">
        <w:trPr>
          <w:trHeight w:val="255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0246" w14:textId="77777777" w:rsidR="00641322" w:rsidRPr="00641322" w:rsidRDefault="00641322" w:rsidP="006D3C40">
            <w:pPr>
              <w:jc w:val="right"/>
              <w:rPr>
                <w:rFonts w:cstheme="minorHAns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1BAF" w14:textId="77777777" w:rsidR="00641322" w:rsidRPr="00641322" w:rsidRDefault="00641322" w:rsidP="006D3C40">
            <w:pPr>
              <w:rPr>
                <w:rFonts w:cstheme="minorHAnsi"/>
                <w:sz w:val="16"/>
                <w:szCs w:val="16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E3C3" w14:textId="77777777" w:rsidR="00641322" w:rsidRPr="00641322" w:rsidRDefault="00641322" w:rsidP="006D3C40">
            <w:pPr>
              <w:rPr>
                <w:rFonts w:cstheme="minorHAnsi"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8BDB" w14:textId="77777777" w:rsidR="00641322" w:rsidRPr="00641322" w:rsidRDefault="00641322" w:rsidP="006D3C40">
            <w:pPr>
              <w:rPr>
                <w:rFonts w:cstheme="minorHAnsi"/>
                <w:sz w:val="16"/>
                <w:szCs w:val="16"/>
                <w:lang w:eastAsia="hr-HR"/>
              </w:rPr>
            </w:pPr>
          </w:p>
        </w:tc>
      </w:tr>
    </w:tbl>
    <w:p w14:paraId="73119BB4" w14:textId="77777777" w:rsidR="004720AD" w:rsidRDefault="004720AD" w:rsidP="00542244">
      <w:pPr>
        <w:jc w:val="both"/>
        <w:rPr>
          <w:rFonts w:ascii="Arial" w:hAnsi="Arial" w:cs="Arial"/>
          <w:noProof/>
        </w:rPr>
      </w:pPr>
    </w:p>
    <w:p w14:paraId="6008D1F6" w14:textId="08123433" w:rsidR="006657BC" w:rsidRDefault="006657BC" w:rsidP="00444FD7">
      <w:pPr>
        <w:ind w:firstLine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Opći prihodi i primici u 20</w:t>
      </w:r>
      <w:r w:rsidR="000D2466">
        <w:rPr>
          <w:rFonts w:ascii="Arial" w:hAnsi="Arial" w:cs="Arial"/>
          <w:noProof/>
        </w:rPr>
        <w:t>20</w:t>
      </w:r>
      <w:r>
        <w:rPr>
          <w:rFonts w:ascii="Arial" w:hAnsi="Arial" w:cs="Arial"/>
          <w:noProof/>
        </w:rPr>
        <w:t xml:space="preserve">. godini </w:t>
      </w:r>
      <w:r w:rsidR="0005658C">
        <w:rPr>
          <w:rFonts w:ascii="Arial" w:hAnsi="Arial" w:cs="Arial"/>
          <w:noProof/>
        </w:rPr>
        <w:t>izvršeni</w:t>
      </w:r>
      <w:r>
        <w:rPr>
          <w:rFonts w:ascii="Arial" w:hAnsi="Arial" w:cs="Arial"/>
          <w:noProof/>
        </w:rPr>
        <w:t xml:space="preserve"> su u iznosu od</w:t>
      </w:r>
      <w:r w:rsidR="0005658C">
        <w:rPr>
          <w:rFonts w:ascii="Arial" w:hAnsi="Arial" w:cs="Arial"/>
          <w:noProof/>
        </w:rPr>
        <w:t xml:space="preserve"> </w:t>
      </w:r>
      <w:r w:rsidR="000D2466">
        <w:rPr>
          <w:rFonts w:ascii="Arial" w:hAnsi="Arial" w:cs="Arial"/>
          <w:noProof/>
        </w:rPr>
        <w:t>24.020.888,49</w:t>
      </w:r>
      <w:r>
        <w:rPr>
          <w:rFonts w:ascii="Arial" w:hAnsi="Arial" w:cs="Arial"/>
          <w:noProof/>
        </w:rPr>
        <w:t xml:space="preserve"> </w:t>
      </w:r>
      <w:r w:rsidRPr="003E5426">
        <w:rPr>
          <w:rFonts w:ascii="Arial" w:hAnsi="Arial" w:cs="Arial"/>
          <w:noProof/>
          <w:color w:val="FF0000"/>
        </w:rPr>
        <w:t xml:space="preserve"> </w:t>
      </w:r>
      <w:r>
        <w:rPr>
          <w:rFonts w:ascii="Arial" w:hAnsi="Arial" w:cs="Arial"/>
          <w:noProof/>
        </w:rPr>
        <w:t>kun</w:t>
      </w:r>
      <w:r w:rsidR="0005658C">
        <w:rPr>
          <w:rFonts w:ascii="Arial" w:hAnsi="Arial" w:cs="Arial"/>
          <w:noProof/>
        </w:rPr>
        <w:t>a</w:t>
      </w:r>
      <w:r>
        <w:rPr>
          <w:rFonts w:ascii="Arial" w:hAnsi="Arial" w:cs="Arial"/>
          <w:noProof/>
        </w:rPr>
        <w:t xml:space="preserve">, a vlastiti prihodi Grada Garešnice u iznosu od </w:t>
      </w:r>
      <w:r w:rsidR="000D2466">
        <w:rPr>
          <w:rFonts w:ascii="Arial" w:hAnsi="Arial" w:cs="Arial"/>
          <w:noProof/>
        </w:rPr>
        <w:t>665.623,49</w:t>
      </w:r>
      <w:r w:rsidRPr="0005658C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</w:rPr>
        <w:t xml:space="preserve">kuna. </w:t>
      </w:r>
      <w:r w:rsidR="00542244">
        <w:rPr>
          <w:rFonts w:ascii="Arial" w:hAnsi="Arial" w:cs="Arial"/>
          <w:noProof/>
        </w:rPr>
        <w:t>Planirani opći prihodi i primici znatno su smanjeni u 2021. godini iz razloga što se sredstava fiskalnog izravnanja u 2021. godini evidentiraju na računu tekućih pomoći iz državnog proračuna, a ne kao u 2020. na računu prohoda od poreza i prireza na dohodak.</w:t>
      </w:r>
      <w:r w:rsidR="0050660F">
        <w:rPr>
          <w:rFonts w:ascii="Arial" w:hAnsi="Arial" w:cs="Arial"/>
          <w:noProof/>
        </w:rPr>
        <w:t xml:space="preserve"> </w:t>
      </w:r>
      <w:r w:rsidR="00D05F87">
        <w:rPr>
          <w:rFonts w:ascii="Arial" w:hAnsi="Arial" w:cs="Arial"/>
          <w:noProof/>
        </w:rPr>
        <w:t>Opće prihode i primitke potrebno je planirati na razini plana 2021. godine.</w:t>
      </w:r>
    </w:p>
    <w:p w14:paraId="3D895FED" w14:textId="2DF979CB" w:rsidR="00542244" w:rsidRDefault="00542244" w:rsidP="00444FD7">
      <w:pPr>
        <w:ind w:firstLine="567"/>
        <w:jc w:val="both"/>
        <w:rPr>
          <w:rFonts w:ascii="Arial" w:hAnsi="Arial" w:cs="Arial"/>
          <w:noProof/>
        </w:rPr>
      </w:pPr>
      <w:r w:rsidRPr="00F22B46">
        <w:rPr>
          <w:rFonts w:ascii="Arial" w:hAnsi="Arial" w:cs="Arial"/>
          <w:noProof/>
        </w:rPr>
        <w:t xml:space="preserve">Tekuće pomoći iz državnog proračuna – </w:t>
      </w:r>
      <w:r w:rsidR="00F22B46" w:rsidRPr="00F22B46">
        <w:rPr>
          <w:rFonts w:ascii="Arial" w:hAnsi="Arial" w:cs="Arial"/>
          <w:noProof/>
        </w:rPr>
        <w:t xml:space="preserve">Ministarstvo financija, </w:t>
      </w:r>
      <w:r w:rsidRPr="00F22B46">
        <w:rPr>
          <w:rFonts w:ascii="Arial" w:hAnsi="Arial" w:cs="Arial"/>
          <w:noProof/>
        </w:rPr>
        <w:t xml:space="preserve">razdjel </w:t>
      </w:r>
      <w:r w:rsidR="00F22B46" w:rsidRPr="00F22B46">
        <w:rPr>
          <w:rFonts w:ascii="Arial" w:hAnsi="Arial" w:cs="Arial"/>
          <w:noProof/>
        </w:rPr>
        <w:t>25</w:t>
      </w:r>
      <w:r w:rsidR="00F22B46">
        <w:rPr>
          <w:rFonts w:ascii="Arial" w:hAnsi="Arial" w:cs="Arial"/>
          <w:noProof/>
        </w:rPr>
        <w:t xml:space="preserve"> </w:t>
      </w:r>
      <w:r w:rsidR="00851AB9">
        <w:rPr>
          <w:rFonts w:ascii="Arial" w:hAnsi="Arial" w:cs="Arial"/>
          <w:noProof/>
        </w:rPr>
        <w:t>u 2021. godini planirane su u iznosu od 15.000.000,00 kuna. Iznos pomoći moći ćemo točno utvrditi nakon donošenja Državnog proračuna i Odluke Ministarstva financija o udjelu sredstava fiskalnog izravnanja za 2022. godinu. Predlaže se planiranje na razini plana za 2021. godinu.</w:t>
      </w:r>
    </w:p>
    <w:p w14:paraId="56C21951" w14:textId="6F521795" w:rsidR="002C79FB" w:rsidRDefault="002C79FB" w:rsidP="00444FD7">
      <w:pPr>
        <w:ind w:firstLine="567"/>
        <w:jc w:val="both"/>
        <w:rPr>
          <w:rFonts w:ascii="Arial" w:hAnsi="Arial" w:cs="Arial"/>
          <w:noProof/>
        </w:rPr>
      </w:pPr>
    </w:p>
    <w:p w14:paraId="3B5FA332" w14:textId="77777777" w:rsidR="002C79FB" w:rsidRDefault="002C79FB" w:rsidP="00444FD7">
      <w:pPr>
        <w:ind w:firstLine="567"/>
        <w:jc w:val="both"/>
        <w:rPr>
          <w:rFonts w:ascii="Arial" w:hAnsi="Arial" w:cs="Arial"/>
          <w:noProof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1560"/>
        <w:gridCol w:w="5520"/>
        <w:gridCol w:w="1980"/>
      </w:tblGrid>
      <w:tr w:rsidR="002C79FB" w:rsidRPr="002C79FB" w14:paraId="2DAA6089" w14:textId="77777777" w:rsidTr="002C79FB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443AE3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BROJ KONTA</w:t>
            </w:r>
          </w:p>
        </w:tc>
        <w:tc>
          <w:tcPr>
            <w:tcW w:w="5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93C9A5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VRSTA PRIHODA / PRIMITAKA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AB74BD" w14:textId="294D4873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PLAN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 2021.</w:t>
            </w:r>
          </w:p>
        </w:tc>
      </w:tr>
      <w:tr w:rsidR="002C79FB" w:rsidRPr="002C79FB" w14:paraId="493A7009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C46347E" w14:textId="77777777" w:rsidR="002C79FB" w:rsidRPr="002C79FB" w:rsidRDefault="002C79FB" w:rsidP="002C79FB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C58C5FA" w14:textId="77777777" w:rsidR="002C79FB" w:rsidRPr="002C79FB" w:rsidRDefault="002C79FB" w:rsidP="002C79FB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SVEUKUPNO PRIHODI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4AFD991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5.595.000,00</w:t>
            </w:r>
          </w:p>
        </w:tc>
      </w:tr>
      <w:tr w:rsidR="002C79FB" w:rsidRPr="002C79FB" w14:paraId="7CA1C090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EED76" w:fill="FEED76"/>
            <w:vAlign w:val="center"/>
            <w:hideMark/>
          </w:tcPr>
          <w:p w14:paraId="61E8D35F" w14:textId="77777777" w:rsidR="002C79FB" w:rsidRPr="002C79FB" w:rsidRDefault="002C79FB" w:rsidP="002C79F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4.1.1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FEED76" w:fill="FEED76"/>
            <w:vAlign w:val="center"/>
            <w:hideMark/>
          </w:tcPr>
          <w:p w14:paraId="3C01D601" w14:textId="77777777" w:rsidR="002C79FB" w:rsidRPr="002C79FB" w:rsidRDefault="002C79FB" w:rsidP="002C79F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EED76" w:fill="FEED76"/>
            <w:vAlign w:val="center"/>
            <w:hideMark/>
          </w:tcPr>
          <w:p w14:paraId="2D7BACD2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5.595.000,00</w:t>
            </w:r>
          </w:p>
        </w:tc>
      </w:tr>
      <w:tr w:rsidR="002C79FB" w:rsidRPr="002C79FB" w14:paraId="258B02BE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655111" w14:textId="77777777" w:rsidR="002C79FB" w:rsidRPr="002C79FB" w:rsidRDefault="002C79FB" w:rsidP="002C79F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E3E3A7" w14:textId="77777777" w:rsidR="002C79FB" w:rsidRPr="002C79FB" w:rsidRDefault="002C79FB" w:rsidP="002C79F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A1356A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5.595.000,00</w:t>
            </w:r>
          </w:p>
        </w:tc>
      </w:tr>
      <w:tr w:rsidR="002C79FB" w:rsidRPr="002C79FB" w14:paraId="3F9885ED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07B1" w14:textId="77777777" w:rsidR="002C79FB" w:rsidRPr="002C79FB" w:rsidRDefault="002C79FB" w:rsidP="002C79F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4F4E2" w14:textId="77777777" w:rsidR="002C79FB" w:rsidRPr="002C79FB" w:rsidRDefault="002C79FB" w:rsidP="002C79F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Prihodi od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344F1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2.750.000,00</w:t>
            </w:r>
          </w:p>
        </w:tc>
      </w:tr>
      <w:tr w:rsidR="002C79FB" w:rsidRPr="002C79FB" w14:paraId="0548D2D8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6ADA9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6422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1210E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od zakupa i iznajmljivanja imovine - zakup zemlje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E0F2B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1.000.000,00</w:t>
            </w:r>
          </w:p>
        </w:tc>
      </w:tr>
      <w:tr w:rsidR="002C79FB" w:rsidRPr="002C79FB" w14:paraId="59FE1B66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635D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6423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9B7C8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Naknada za korištenje nefinancijske imovine - legalizacija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C5B0F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2C79FB" w:rsidRPr="002C79FB" w14:paraId="053845A6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E06CD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6423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7ABC9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Naknada za korištenje nefinancijske imovine - služnost puta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5F22C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1.700.000,00</w:t>
            </w:r>
          </w:p>
        </w:tc>
      </w:tr>
      <w:tr w:rsidR="002C79FB" w:rsidRPr="002C79FB" w14:paraId="123025BD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4A59A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6522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1FCE8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vodnog gospodarstva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22B4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2C79FB" w:rsidRPr="002C79FB" w14:paraId="11E7D7F8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8F09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6524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04223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Doprinosi za šume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E17B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</w:tr>
      <w:tr w:rsidR="002C79FB" w:rsidRPr="002C79FB" w14:paraId="18FC51E0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5117D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6526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C8FB7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Naknada za prenamjenu poljoprivrednog zemljišta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0A28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2C79FB" w:rsidRPr="002C79FB" w14:paraId="0079B852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DB616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6531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F3290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Komunalni doprinosi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381DD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2C79FB" w:rsidRPr="002C79FB" w14:paraId="49B0F098" w14:textId="77777777" w:rsidTr="002C79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0C005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6532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3780B" w14:textId="77777777" w:rsidR="002C79FB" w:rsidRPr="002C79FB" w:rsidRDefault="002C79FB" w:rsidP="002C79F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Komunalne naknade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FAC2" w14:textId="77777777" w:rsidR="002C79FB" w:rsidRPr="002C79FB" w:rsidRDefault="002C79FB" w:rsidP="002C79F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2C79F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1.500.000,00</w:t>
            </w:r>
          </w:p>
        </w:tc>
      </w:tr>
    </w:tbl>
    <w:p w14:paraId="64CAF44B" w14:textId="269E3EC4" w:rsidR="002C79FB" w:rsidRDefault="002C79FB" w:rsidP="00444FD7">
      <w:pPr>
        <w:ind w:firstLine="567"/>
        <w:jc w:val="both"/>
        <w:rPr>
          <w:rFonts w:ascii="Arial" w:hAnsi="Arial" w:cs="Arial"/>
          <w:noProof/>
        </w:rPr>
      </w:pPr>
    </w:p>
    <w:p w14:paraId="1FDAB621" w14:textId="77777777" w:rsidR="007F2D7A" w:rsidRPr="00F22B46" w:rsidRDefault="007F2D7A" w:rsidP="00444FD7">
      <w:pPr>
        <w:ind w:firstLine="567"/>
        <w:jc w:val="both"/>
        <w:rPr>
          <w:rFonts w:ascii="Arial" w:hAnsi="Arial" w:cs="Arial"/>
          <w:noProof/>
        </w:rPr>
      </w:pPr>
    </w:p>
    <w:p w14:paraId="4D6BC4A6" w14:textId="2410A3DB" w:rsidR="00127FA9" w:rsidRDefault="002615BF" w:rsidP="00444FD7">
      <w:pPr>
        <w:ind w:firstLine="567"/>
        <w:jc w:val="both"/>
        <w:rPr>
          <w:rFonts w:ascii="Arial" w:hAnsi="Arial" w:cs="Arial"/>
          <w:noProof/>
        </w:rPr>
      </w:pPr>
      <w:r w:rsidRPr="00F22B46">
        <w:rPr>
          <w:rFonts w:ascii="Arial" w:hAnsi="Arial" w:cs="Arial"/>
          <w:noProof/>
        </w:rPr>
        <w:t xml:space="preserve">U </w:t>
      </w:r>
      <w:r w:rsidR="00127FA9" w:rsidRPr="00F22B46">
        <w:rPr>
          <w:rFonts w:ascii="Arial" w:hAnsi="Arial" w:cs="Arial"/>
          <w:noProof/>
        </w:rPr>
        <w:t>Odluk</w:t>
      </w:r>
      <w:r w:rsidRPr="00F22B46">
        <w:rPr>
          <w:rFonts w:ascii="Arial" w:hAnsi="Arial" w:cs="Arial"/>
          <w:noProof/>
        </w:rPr>
        <w:t>ama</w:t>
      </w:r>
      <w:r w:rsidR="00127FA9" w:rsidRPr="00F22B46">
        <w:rPr>
          <w:rFonts w:ascii="Arial" w:hAnsi="Arial" w:cs="Arial"/>
          <w:noProof/>
        </w:rPr>
        <w:t xml:space="preserve"> o namjenskim prihodima (komunalna naknada, komunalni </w:t>
      </w:r>
      <w:r w:rsidR="00127FA9">
        <w:rPr>
          <w:rFonts w:ascii="Arial" w:hAnsi="Arial" w:cs="Arial"/>
          <w:noProof/>
        </w:rPr>
        <w:t xml:space="preserve">doprinos) </w:t>
      </w:r>
      <w:r>
        <w:rPr>
          <w:rFonts w:ascii="Arial" w:hAnsi="Arial" w:cs="Arial"/>
          <w:noProof/>
        </w:rPr>
        <w:t>nije došlo do izmjena tako da</w:t>
      </w:r>
      <w:r w:rsidR="006913FA">
        <w:rPr>
          <w:rFonts w:ascii="Arial" w:hAnsi="Arial" w:cs="Arial"/>
          <w:noProof/>
        </w:rPr>
        <w:t xml:space="preserve"> bi</w:t>
      </w:r>
      <w:r>
        <w:rPr>
          <w:rFonts w:ascii="Arial" w:hAnsi="Arial" w:cs="Arial"/>
          <w:noProof/>
        </w:rPr>
        <w:t xml:space="preserve"> se isti prihodi</w:t>
      </w:r>
      <w:r w:rsidR="006913FA">
        <w:rPr>
          <w:rFonts w:ascii="Arial" w:hAnsi="Arial" w:cs="Arial"/>
          <w:noProof/>
        </w:rPr>
        <w:t xml:space="preserve"> trebali planirati</w:t>
      </w:r>
      <w:r>
        <w:rPr>
          <w:rFonts w:ascii="Arial" w:hAnsi="Arial" w:cs="Arial"/>
          <w:noProof/>
        </w:rPr>
        <w:t xml:space="preserve"> na bazi </w:t>
      </w:r>
      <w:r w:rsidR="00031667">
        <w:rPr>
          <w:rFonts w:ascii="Arial" w:hAnsi="Arial" w:cs="Arial"/>
          <w:noProof/>
        </w:rPr>
        <w:t>plana 202</w:t>
      </w:r>
      <w:r w:rsidR="00851AB9">
        <w:rPr>
          <w:rFonts w:ascii="Arial" w:hAnsi="Arial" w:cs="Arial"/>
          <w:noProof/>
        </w:rPr>
        <w:t>1</w:t>
      </w:r>
      <w:r w:rsidR="00031667">
        <w:rPr>
          <w:rFonts w:ascii="Arial" w:hAnsi="Arial" w:cs="Arial"/>
          <w:noProof/>
        </w:rPr>
        <w:t xml:space="preserve">. </w:t>
      </w:r>
      <w:r w:rsidR="00834F70">
        <w:rPr>
          <w:rFonts w:ascii="Arial" w:hAnsi="Arial" w:cs="Arial"/>
          <w:noProof/>
        </w:rPr>
        <w:t>g</w:t>
      </w:r>
      <w:r w:rsidR="00031667">
        <w:rPr>
          <w:rFonts w:ascii="Arial" w:hAnsi="Arial" w:cs="Arial"/>
          <w:noProof/>
        </w:rPr>
        <w:t>odine</w:t>
      </w:r>
      <w:r w:rsidR="00834F70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 xml:space="preserve"> odnosno </w:t>
      </w:r>
      <w:r w:rsidRPr="00031667">
        <w:rPr>
          <w:rFonts w:ascii="Arial" w:hAnsi="Arial" w:cs="Arial"/>
          <w:noProof/>
        </w:rPr>
        <w:t>1.</w:t>
      </w:r>
      <w:r w:rsidR="003E5426" w:rsidRPr="00031667">
        <w:rPr>
          <w:rFonts w:ascii="Arial" w:hAnsi="Arial" w:cs="Arial"/>
          <w:noProof/>
        </w:rPr>
        <w:t>7</w:t>
      </w:r>
      <w:r w:rsidRPr="00031667">
        <w:rPr>
          <w:rFonts w:ascii="Arial" w:hAnsi="Arial" w:cs="Arial"/>
          <w:noProof/>
        </w:rPr>
        <w:t xml:space="preserve">00.000,00 </w:t>
      </w:r>
      <w:r>
        <w:rPr>
          <w:rFonts w:ascii="Arial" w:hAnsi="Arial" w:cs="Arial"/>
          <w:noProof/>
        </w:rPr>
        <w:t xml:space="preserve">kuna. </w:t>
      </w:r>
      <w:r w:rsidR="00CF108B">
        <w:rPr>
          <w:rFonts w:ascii="Arial" w:hAnsi="Arial" w:cs="Arial"/>
          <w:noProof/>
        </w:rPr>
        <w:t>Prihodi po posebnim propisima (</w:t>
      </w:r>
      <w:r w:rsidR="0054315F">
        <w:rPr>
          <w:rFonts w:ascii="Arial" w:hAnsi="Arial" w:cs="Arial"/>
          <w:noProof/>
        </w:rPr>
        <w:t xml:space="preserve">prihod od prenamjene poljoprivrednog zemljišta, </w:t>
      </w:r>
      <w:r w:rsidR="00CF108B">
        <w:rPr>
          <w:rFonts w:ascii="Arial" w:hAnsi="Arial" w:cs="Arial"/>
          <w:noProof/>
        </w:rPr>
        <w:t>vodni doprinos i šumski doprinos</w:t>
      </w:r>
      <w:r w:rsidR="0054315F">
        <w:rPr>
          <w:rFonts w:ascii="Arial" w:hAnsi="Arial" w:cs="Arial"/>
          <w:noProof/>
        </w:rPr>
        <w:t>) trebao bi se planirati na razini plana i izvršenja za 202</w:t>
      </w:r>
      <w:r w:rsidR="002C79FB">
        <w:rPr>
          <w:rFonts w:ascii="Arial" w:hAnsi="Arial" w:cs="Arial"/>
          <w:noProof/>
        </w:rPr>
        <w:t>1</w:t>
      </w:r>
      <w:r w:rsidR="0054315F">
        <w:rPr>
          <w:rFonts w:ascii="Arial" w:hAnsi="Arial" w:cs="Arial"/>
          <w:noProof/>
        </w:rPr>
        <w:t>. godinu.</w:t>
      </w:r>
    </w:p>
    <w:p w14:paraId="4BB8CBE8" w14:textId="77777777" w:rsidR="002C79FB" w:rsidRDefault="002C79FB" w:rsidP="00444FD7">
      <w:pPr>
        <w:ind w:firstLine="567"/>
        <w:jc w:val="both"/>
        <w:rPr>
          <w:rFonts w:ascii="Arial" w:hAnsi="Arial" w:cs="Arial"/>
          <w:noProof/>
        </w:rPr>
      </w:pPr>
    </w:p>
    <w:p w14:paraId="3A63FEEE" w14:textId="34001F4F" w:rsidR="002615BF" w:rsidRDefault="002615BF" w:rsidP="00444FD7">
      <w:pPr>
        <w:ind w:firstLine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Prihodi od zakupa poljoprivrednog zemljišta u vlasništvu države </w:t>
      </w:r>
      <w:r w:rsidR="00D71258">
        <w:rPr>
          <w:rFonts w:ascii="Arial" w:hAnsi="Arial" w:cs="Arial"/>
          <w:noProof/>
        </w:rPr>
        <w:t>planiraju se temeljem potpisanih ugovora o zakupu i dosa</w:t>
      </w:r>
      <w:r w:rsidR="00A815E3">
        <w:rPr>
          <w:rFonts w:ascii="Arial" w:hAnsi="Arial" w:cs="Arial"/>
          <w:noProof/>
        </w:rPr>
        <w:t>dašnjih izvršenja u iznosu od 1.000.000,00 kuna</w:t>
      </w:r>
      <w:r w:rsidR="006913FA">
        <w:rPr>
          <w:rFonts w:ascii="Arial" w:hAnsi="Arial" w:cs="Arial"/>
          <w:noProof/>
        </w:rPr>
        <w:t>.</w:t>
      </w:r>
      <w:r w:rsidR="003E5426">
        <w:rPr>
          <w:rFonts w:ascii="Arial" w:hAnsi="Arial" w:cs="Arial"/>
          <w:noProof/>
        </w:rPr>
        <w:t xml:space="preserve"> </w:t>
      </w:r>
      <w:r w:rsidR="003858DA">
        <w:rPr>
          <w:rFonts w:ascii="Arial" w:hAnsi="Arial" w:cs="Arial"/>
          <w:noProof/>
        </w:rPr>
        <w:t>Kod planiranja p</w:t>
      </w:r>
      <w:r w:rsidR="003E5426">
        <w:rPr>
          <w:rFonts w:ascii="Arial" w:hAnsi="Arial" w:cs="Arial"/>
          <w:noProof/>
        </w:rPr>
        <w:t>rihod</w:t>
      </w:r>
      <w:r w:rsidR="003858DA">
        <w:rPr>
          <w:rFonts w:ascii="Arial" w:hAnsi="Arial" w:cs="Arial"/>
          <w:noProof/>
        </w:rPr>
        <w:t>a</w:t>
      </w:r>
      <w:r w:rsidR="003E5426">
        <w:rPr>
          <w:rFonts w:ascii="Arial" w:hAnsi="Arial" w:cs="Arial"/>
          <w:noProof/>
        </w:rPr>
        <w:t xml:space="preserve"> od prodaje poljoprivrednog zemljišta</w:t>
      </w:r>
      <w:r w:rsidR="003858DA">
        <w:rPr>
          <w:rFonts w:ascii="Arial" w:hAnsi="Arial" w:cs="Arial"/>
          <w:noProof/>
        </w:rPr>
        <w:t xml:space="preserve"> u vlasništvu RH</w:t>
      </w:r>
      <w:r w:rsidR="0054315F">
        <w:rPr>
          <w:rFonts w:ascii="Arial" w:hAnsi="Arial" w:cs="Arial"/>
          <w:noProof/>
        </w:rPr>
        <w:t xml:space="preserve"> treba</w:t>
      </w:r>
      <w:r w:rsidR="003858DA">
        <w:rPr>
          <w:rFonts w:ascii="Arial" w:hAnsi="Arial" w:cs="Arial"/>
          <w:noProof/>
        </w:rPr>
        <w:t xml:space="preserve"> </w:t>
      </w:r>
      <w:r w:rsidR="002C79FB">
        <w:rPr>
          <w:rFonts w:ascii="Arial" w:hAnsi="Arial" w:cs="Arial"/>
          <w:noProof/>
        </w:rPr>
        <w:t xml:space="preserve">uzeti u obzir da </w:t>
      </w:r>
      <w:r w:rsidR="003858DA">
        <w:rPr>
          <w:rFonts w:ascii="Arial" w:hAnsi="Arial" w:cs="Arial"/>
          <w:noProof/>
        </w:rPr>
        <w:t>je objavljen natječaj za prodaju poljoprivrednog zemljišta u vlasništvu države, te u slučaju da se ugovori ne sklope u ovoj proračunskoj godini</w:t>
      </w:r>
      <w:r w:rsidR="00A62769">
        <w:rPr>
          <w:rFonts w:ascii="Arial" w:hAnsi="Arial" w:cs="Arial"/>
          <w:noProof/>
        </w:rPr>
        <w:t>,</w:t>
      </w:r>
      <w:r w:rsidR="003858DA">
        <w:rPr>
          <w:rFonts w:ascii="Arial" w:hAnsi="Arial" w:cs="Arial"/>
          <w:noProof/>
        </w:rPr>
        <w:t xml:space="preserve"> </w:t>
      </w:r>
      <w:r w:rsidR="00A62769">
        <w:rPr>
          <w:rFonts w:ascii="Arial" w:hAnsi="Arial" w:cs="Arial"/>
          <w:noProof/>
        </w:rPr>
        <w:t>prihode od istih možemo očekivati u 2022. godini.</w:t>
      </w:r>
    </w:p>
    <w:p w14:paraId="5953806F" w14:textId="54DF2041" w:rsidR="00D37F81" w:rsidRDefault="00D37F81" w:rsidP="00444FD7">
      <w:pPr>
        <w:ind w:firstLine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Prihodi od zakupa poslovnih prostora i javnih površina, te prihodi od pruženih usluga planiraju se temeljem potpisanih ugovora koji su u razini prihoda planiranih za </w:t>
      </w:r>
      <w:r w:rsidR="0054315F">
        <w:rPr>
          <w:rFonts w:ascii="Arial" w:hAnsi="Arial" w:cs="Arial"/>
          <w:noProof/>
        </w:rPr>
        <w:t>202</w:t>
      </w:r>
      <w:r w:rsidR="002C79FB">
        <w:rPr>
          <w:rFonts w:ascii="Arial" w:hAnsi="Arial" w:cs="Arial"/>
          <w:noProof/>
        </w:rPr>
        <w:t>1</w:t>
      </w:r>
      <w:r>
        <w:rPr>
          <w:rFonts w:ascii="Arial" w:hAnsi="Arial" w:cs="Arial"/>
          <w:noProof/>
        </w:rPr>
        <w:t xml:space="preserve">. </w:t>
      </w:r>
      <w:r w:rsidR="00395557">
        <w:rPr>
          <w:rFonts w:ascii="Arial" w:hAnsi="Arial" w:cs="Arial"/>
          <w:noProof/>
        </w:rPr>
        <w:t>g</w:t>
      </w:r>
      <w:r>
        <w:rPr>
          <w:rFonts w:ascii="Arial" w:hAnsi="Arial" w:cs="Arial"/>
          <w:noProof/>
        </w:rPr>
        <w:t>odinu.</w:t>
      </w:r>
    </w:p>
    <w:p w14:paraId="7372F7BD" w14:textId="16894BEE" w:rsidR="000D25E0" w:rsidRDefault="000D25E0" w:rsidP="00444FD7">
      <w:pPr>
        <w:ind w:firstLine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Na temelju navedenog očekuje se da </w:t>
      </w:r>
      <w:r w:rsidR="00987C43">
        <w:rPr>
          <w:rFonts w:ascii="Arial" w:hAnsi="Arial" w:cs="Arial"/>
          <w:noProof/>
        </w:rPr>
        <w:t xml:space="preserve"> prihodi poslovanja </w:t>
      </w:r>
      <w:r>
        <w:rPr>
          <w:rFonts w:ascii="Arial" w:hAnsi="Arial" w:cs="Arial"/>
          <w:noProof/>
        </w:rPr>
        <w:t xml:space="preserve">Grada Garešnica </w:t>
      </w:r>
      <w:r w:rsidR="00D71258">
        <w:rPr>
          <w:rFonts w:ascii="Arial" w:hAnsi="Arial" w:cs="Arial"/>
          <w:noProof/>
        </w:rPr>
        <w:t xml:space="preserve">bez </w:t>
      </w:r>
      <w:r w:rsidR="00D37F81">
        <w:rPr>
          <w:rFonts w:ascii="Arial" w:hAnsi="Arial" w:cs="Arial"/>
          <w:noProof/>
        </w:rPr>
        <w:t xml:space="preserve">pomoći iz inozemstva i od subjekata unutar općeg proračuna, </w:t>
      </w:r>
      <w:r w:rsidR="00DF7F6E">
        <w:rPr>
          <w:rFonts w:ascii="Arial" w:hAnsi="Arial" w:cs="Arial"/>
          <w:noProof/>
        </w:rPr>
        <w:t>za 20</w:t>
      </w:r>
      <w:r w:rsidR="00D71258">
        <w:rPr>
          <w:rFonts w:ascii="Arial" w:hAnsi="Arial" w:cs="Arial"/>
          <w:noProof/>
        </w:rPr>
        <w:t>2</w:t>
      </w:r>
      <w:r w:rsidR="002C79FB">
        <w:rPr>
          <w:rFonts w:ascii="Arial" w:hAnsi="Arial" w:cs="Arial"/>
          <w:noProof/>
        </w:rPr>
        <w:t>2</w:t>
      </w:r>
      <w:r w:rsidR="00987C43">
        <w:rPr>
          <w:rFonts w:ascii="Arial" w:hAnsi="Arial" w:cs="Arial"/>
          <w:noProof/>
        </w:rPr>
        <w:t xml:space="preserve">. </w:t>
      </w:r>
      <w:r w:rsidR="00A62769">
        <w:rPr>
          <w:rFonts w:ascii="Arial" w:hAnsi="Arial" w:cs="Arial"/>
          <w:noProof/>
        </w:rPr>
        <w:t>g</w:t>
      </w:r>
      <w:r w:rsidR="00987C43">
        <w:rPr>
          <w:rFonts w:ascii="Arial" w:hAnsi="Arial" w:cs="Arial"/>
          <w:noProof/>
        </w:rPr>
        <w:t>odinu</w:t>
      </w:r>
      <w:r w:rsidR="00A62769">
        <w:rPr>
          <w:rFonts w:ascii="Arial" w:hAnsi="Arial" w:cs="Arial"/>
          <w:noProof/>
        </w:rPr>
        <w:t xml:space="preserve"> zadržat će se na razini planiranih prihoda</w:t>
      </w:r>
      <w:r w:rsidR="002C79FB">
        <w:rPr>
          <w:rFonts w:ascii="Arial" w:hAnsi="Arial" w:cs="Arial"/>
          <w:noProof/>
        </w:rPr>
        <w:t xml:space="preserve"> </w:t>
      </w:r>
      <w:r w:rsidR="00DF7F6E">
        <w:rPr>
          <w:rFonts w:ascii="Arial" w:hAnsi="Arial" w:cs="Arial"/>
          <w:noProof/>
        </w:rPr>
        <w:t>20</w:t>
      </w:r>
      <w:r w:rsidR="003E5426">
        <w:rPr>
          <w:rFonts w:ascii="Arial" w:hAnsi="Arial" w:cs="Arial"/>
          <w:noProof/>
        </w:rPr>
        <w:t>2</w:t>
      </w:r>
      <w:r w:rsidR="002C79FB">
        <w:rPr>
          <w:rFonts w:ascii="Arial" w:hAnsi="Arial" w:cs="Arial"/>
          <w:noProof/>
        </w:rPr>
        <w:t>1</w:t>
      </w:r>
      <w:r w:rsidR="00987C43">
        <w:rPr>
          <w:rFonts w:ascii="Arial" w:hAnsi="Arial" w:cs="Arial"/>
          <w:noProof/>
        </w:rPr>
        <w:t>. godin</w:t>
      </w:r>
      <w:r w:rsidR="00A62769">
        <w:rPr>
          <w:rFonts w:ascii="Arial" w:hAnsi="Arial" w:cs="Arial"/>
          <w:noProof/>
        </w:rPr>
        <w:t>e</w:t>
      </w:r>
      <w:r w:rsidR="00987C43">
        <w:rPr>
          <w:rFonts w:ascii="Arial" w:hAnsi="Arial" w:cs="Arial"/>
          <w:noProof/>
        </w:rPr>
        <w:t xml:space="preserve">, te je potrebno da se nivo </w:t>
      </w:r>
      <w:r w:rsidR="003E5426">
        <w:rPr>
          <w:rFonts w:ascii="Arial" w:hAnsi="Arial" w:cs="Arial"/>
          <w:noProof/>
        </w:rPr>
        <w:t xml:space="preserve">poslovnih </w:t>
      </w:r>
      <w:r w:rsidR="00987C43">
        <w:rPr>
          <w:rFonts w:ascii="Arial" w:hAnsi="Arial" w:cs="Arial"/>
          <w:noProof/>
        </w:rPr>
        <w:t>ra</w:t>
      </w:r>
      <w:r w:rsidR="00DF7F6E">
        <w:rPr>
          <w:rFonts w:ascii="Arial" w:hAnsi="Arial" w:cs="Arial"/>
          <w:noProof/>
        </w:rPr>
        <w:t>shoda</w:t>
      </w:r>
      <w:r w:rsidR="003E5426">
        <w:rPr>
          <w:rFonts w:ascii="Arial" w:hAnsi="Arial" w:cs="Arial"/>
          <w:noProof/>
        </w:rPr>
        <w:t xml:space="preserve"> </w:t>
      </w:r>
      <w:r w:rsidR="00DF7F6E">
        <w:rPr>
          <w:rFonts w:ascii="Arial" w:hAnsi="Arial" w:cs="Arial"/>
          <w:noProof/>
        </w:rPr>
        <w:t xml:space="preserve"> zadržava na razini iz 20</w:t>
      </w:r>
      <w:r w:rsidR="003E5426">
        <w:rPr>
          <w:rFonts w:ascii="Arial" w:hAnsi="Arial" w:cs="Arial"/>
          <w:noProof/>
        </w:rPr>
        <w:t>2</w:t>
      </w:r>
      <w:r w:rsidR="002C79FB">
        <w:rPr>
          <w:rFonts w:ascii="Arial" w:hAnsi="Arial" w:cs="Arial"/>
          <w:noProof/>
        </w:rPr>
        <w:t>1</w:t>
      </w:r>
      <w:r w:rsidR="00987C43">
        <w:rPr>
          <w:rFonts w:ascii="Arial" w:hAnsi="Arial" w:cs="Arial"/>
          <w:noProof/>
        </w:rPr>
        <w:t xml:space="preserve">. godine. </w:t>
      </w:r>
    </w:p>
    <w:p w14:paraId="1C971090" w14:textId="77777777" w:rsidR="000D25E0" w:rsidRDefault="000D25E0" w:rsidP="00444FD7">
      <w:pPr>
        <w:ind w:firstLine="567"/>
        <w:jc w:val="both"/>
        <w:rPr>
          <w:rFonts w:ascii="Arial" w:hAnsi="Arial" w:cs="Arial"/>
          <w:noProof/>
        </w:rPr>
      </w:pPr>
    </w:p>
    <w:p w14:paraId="6A632460" w14:textId="77777777" w:rsidR="00640256" w:rsidRPr="00601120" w:rsidRDefault="003A6BEB" w:rsidP="0060112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775C53" w14:textId="77777777" w:rsidR="00C80E14" w:rsidRPr="00C80E14" w:rsidRDefault="00C80E14" w:rsidP="00C80E14">
      <w:pPr>
        <w:jc w:val="both"/>
        <w:rPr>
          <w:rFonts w:ascii="Arial" w:hAnsi="Arial" w:cs="Arial"/>
          <w:i/>
        </w:rPr>
      </w:pPr>
    </w:p>
    <w:p w14:paraId="161DDA1C" w14:textId="77777777" w:rsidR="00655D62" w:rsidRDefault="00655D62" w:rsidP="00584282">
      <w:pPr>
        <w:jc w:val="center"/>
        <w:rPr>
          <w:rFonts w:ascii="Arial" w:hAnsi="Arial" w:cs="Arial"/>
          <w:b/>
        </w:rPr>
      </w:pPr>
    </w:p>
    <w:p w14:paraId="124524B0" w14:textId="77777777" w:rsidR="00655D62" w:rsidRDefault="00047084" w:rsidP="005842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24FC4" w:rsidRPr="00F24FC4">
        <w:rPr>
          <w:rFonts w:ascii="Arial" w:hAnsi="Arial" w:cs="Arial"/>
          <w:b/>
        </w:rPr>
        <w:t>VISINA FINANCIJSKOG PLANA PO PRORAČUNSKIM KORISNICIMA</w:t>
      </w:r>
    </w:p>
    <w:p w14:paraId="019D367A" w14:textId="77777777" w:rsidR="008956D7" w:rsidRDefault="008956D7" w:rsidP="00584282">
      <w:pPr>
        <w:jc w:val="center"/>
        <w:rPr>
          <w:rFonts w:ascii="Arial" w:hAnsi="Arial" w:cs="Arial"/>
          <w:b/>
        </w:rPr>
      </w:pPr>
    </w:p>
    <w:p w14:paraId="073FA530" w14:textId="77777777" w:rsidR="00655D62" w:rsidRDefault="00655D62" w:rsidP="00584282">
      <w:pPr>
        <w:jc w:val="center"/>
        <w:rPr>
          <w:rFonts w:ascii="Arial" w:hAnsi="Arial" w:cs="Arial"/>
          <w:b/>
        </w:rPr>
      </w:pPr>
    </w:p>
    <w:p w14:paraId="2FB0E520" w14:textId="77777777" w:rsidR="008956D7" w:rsidRDefault="008956D7" w:rsidP="00293011">
      <w:pPr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Sukladno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članku</w:t>
      </w:r>
      <w:proofErr w:type="spellEnd"/>
      <w:r>
        <w:rPr>
          <w:rFonts w:ascii="Arial" w:hAnsi="Arial" w:cs="Arial"/>
        </w:rPr>
        <w:t xml:space="preserve"> 27. </w:t>
      </w:r>
      <w:proofErr w:type="spellStart"/>
      <w:r>
        <w:rPr>
          <w:rFonts w:ascii="Arial" w:hAnsi="Arial" w:cs="Arial"/>
        </w:rPr>
        <w:t>st.</w:t>
      </w:r>
      <w:proofErr w:type="spellEnd"/>
      <w:r>
        <w:rPr>
          <w:rFonts w:ascii="Arial" w:hAnsi="Arial" w:cs="Arial"/>
        </w:rPr>
        <w:t xml:space="preserve"> 3. t. 4.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proračunu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financijskog</w:t>
      </w:r>
      <w:proofErr w:type="spellEnd"/>
      <w:r>
        <w:rPr>
          <w:rFonts w:ascii="Arial" w:hAnsi="Arial" w:cs="Arial"/>
        </w:rPr>
        <w:t xml:space="preserve"> plana po </w:t>
      </w:r>
      <w:proofErr w:type="spellStart"/>
      <w:r>
        <w:rPr>
          <w:rFonts w:ascii="Arial" w:hAnsi="Arial" w:cs="Arial"/>
        </w:rPr>
        <w:t>razdjelima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klasifikacije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obuhvaća</w:t>
      </w:r>
      <w:proofErr w:type="spellEnd"/>
      <w:r>
        <w:rPr>
          <w:rFonts w:ascii="Arial" w:hAnsi="Arial" w:cs="Arial"/>
        </w:rPr>
        <w:t xml:space="preserve">: </w:t>
      </w:r>
    </w:p>
    <w:p w14:paraId="3052D4EE" w14:textId="77777777" w:rsidR="008956D7" w:rsidRDefault="008956D7" w:rsidP="00293011">
      <w:pPr>
        <w:pStyle w:val="Odlomakpopisa"/>
        <w:numPr>
          <w:ilvl w:val="0"/>
          <w:numId w:val="19"/>
        </w:numPr>
        <w:ind w:hanging="1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visinu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potrebnih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provedbu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postojećih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proizlaze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trenutno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važećih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</w:t>
      </w:r>
      <w:proofErr w:type="spellEnd"/>
    </w:p>
    <w:p w14:paraId="74BF778D" w14:textId="77777777" w:rsidR="00293011" w:rsidRDefault="00293011" w:rsidP="00293011">
      <w:pPr>
        <w:pStyle w:val="Odlomakpopisa"/>
        <w:jc w:val="both"/>
        <w:rPr>
          <w:rFonts w:ascii="Arial" w:hAnsi="Arial" w:cs="Arial"/>
        </w:rPr>
      </w:pPr>
    </w:p>
    <w:p w14:paraId="705A508C" w14:textId="77777777" w:rsidR="008956D7" w:rsidRDefault="008956D7" w:rsidP="00293011">
      <w:pPr>
        <w:pStyle w:val="Odlomakpopisa"/>
        <w:numPr>
          <w:ilvl w:val="0"/>
          <w:numId w:val="19"/>
        </w:numPr>
        <w:ind w:hanging="1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visinu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potrebnih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uvođenje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provedbu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promjenu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postojećih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aktivnosti</w:t>
      </w:r>
      <w:proofErr w:type="spellEnd"/>
      <w:r>
        <w:rPr>
          <w:rFonts w:ascii="Arial" w:hAnsi="Arial" w:cs="Arial"/>
        </w:rPr>
        <w:t>.</w:t>
      </w:r>
    </w:p>
    <w:p w14:paraId="53D0F7E1" w14:textId="77777777" w:rsidR="008956D7" w:rsidRDefault="008956D7" w:rsidP="00293011">
      <w:pPr>
        <w:ind w:firstLine="567"/>
        <w:jc w:val="both"/>
        <w:rPr>
          <w:rFonts w:ascii="Arial" w:hAnsi="Arial" w:cs="Arial"/>
        </w:rPr>
      </w:pPr>
    </w:p>
    <w:p w14:paraId="12C257AB" w14:textId="2D49DF31" w:rsidR="008956D7" w:rsidRDefault="008956D7" w:rsidP="00293011">
      <w:pPr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Navedeno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podrazumjeva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proračunski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korisnici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Gradu</w:t>
      </w:r>
      <w:proofErr w:type="spellEnd"/>
      <w:r>
        <w:rPr>
          <w:rFonts w:ascii="Arial" w:hAnsi="Arial" w:cs="Arial"/>
        </w:rPr>
        <w:t xml:space="preserve"> Garešnica </w:t>
      </w:r>
      <w:proofErr w:type="spellStart"/>
      <w:r>
        <w:rPr>
          <w:rFonts w:ascii="Arial" w:hAnsi="Arial" w:cs="Arial"/>
        </w:rPr>
        <w:t>dostav</w:t>
      </w:r>
      <w:r w:rsidR="00DF7F6E">
        <w:rPr>
          <w:rFonts w:ascii="Arial" w:hAnsi="Arial" w:cs="Arial"/>
        </w:rPr>
        <w:t>iti</w:t>
      </w:r>
      <w:proofErr w:type="spellEnd"/>
      <w:r w:rsidR="00DF7F6E">
        <w:rPr>
          <w:rFonts w:ascii="Arial" w:hAnsi="Arial" w:cs="Arial"/>
        </w:rPr>
        <w:t xml:space="preserve"> </w:t>
      </w:r>
      <w:proofErr w:type="spellStart"/>
      <w:r w:rsidR="00DF7F6E">
        <w:rPr>
          <w:rFonts w:ascii="Arial" w:hAnsi="Arial" w:cs="Arial"/>
        </w:rPr>
        <w:t>projekciju</w:t>
      </w:r>
      <w:proofErr w:type="spellEnd"/>
      <w:r w:rsidR="00DF7F6E">
        <w:rPr>
          <w:rFonts w:ascii="Arial" w:hAnsi="Arial" w:cs="Arial"/>
        </w:rPr>
        <w:t xml:space="preserve"> za 20</w:t>
      </w:r>
      <w:r w:rsidR="00963523">
        <w:rPr>
          <w:rFonts w:ascii="Arial" w:hAnsi="Arial" w:cs="Arial"/>
        </w:rPr>
        <w:t>2</w:t>
      </w:r>
      <w:r w:rsidR="001A5179">
        <w:rPr>
          <w:rFonts w:ascii="Arial" w:hAnsi="Arial" w:cs="Arial"/>
        </w:rPr>
        <w:t>2</w:t>
      </w:r>
      <w:r w:rsidR="00DF7F6E">
        <w:rPr>
          <w:rFonts w:ascii="Arial" w:hAnsi="Arial" w:cs="Arial"/>
        </w:rPr>
        <w:t>. – 20</w:t>
      </w:r>
      <w:r w:rsidR="00963523">
        <w:rPr>
          <w:rFonts w:ascii="Arial" w:hAnsi="Arial" w:cs="Arial"/>
        </w:rPr>
        <w:t>2</w:t>
      </w:r>
      <w:r w:rsidR="001A517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U </w:t>
      </w:r>
      <w:proofErr w:type="spellStart"/>
      <w:r>
        <w:rPr>
          <w:rFonts w:ascii="Arial" w:hAnsi="Arial" w:cs="Arial"/>
        </w:rPr>
        <w:t>tabelarnom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prikazu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odvojenim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stupcima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stupac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prikazuje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potrebnih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provedbu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postojećih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stupac</w:t>
      </w:r>
      <w:proofErr w:type="spellEnd"/>
      <w:r>
        <w:rPr>
          <w:rFonts w:ascii="Arial" w:hAnsi="Arial" w:cs="Arial"/>
        </w:rPr>
        <w:t xml:space="preserve"> B </w:t>
      </w:r>
      <w:proofErr w:type="spellStart"/>
      <w:r>
        <w:rPr>
          <w:rFonts w:ascii="Arial" w:hAnsi="Arial" w:cs="Arial"/>
        </w:rPr>
        <w:t>visinu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potrebnih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uvođenje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stupac</w:t>
      </w:r>
      <w:proofErr w:type="spellEnd"/>
      <w:r>
        <w:rPr>
          <w:rFonts w:ascii="Arial" w:hAnsi="Arial" w:cs="Arial"/>
        </w:rPr>
        <w:t xml:space="preserve"> C </w:t>
      </w:r>
      <w:proofErr w:type="spellStart"/>
      <w:r>
        <w:rPr>
          <w:rFonts w:ascii="Arial" w:hAnsi="Arial" w:cs="Arial"/>
        </w:rPr>
        <w:t>prikazivati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ukupan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financijski</w:t>
      </w:r>
      <w:proofErr w:type="spellEnd"/>
      <w:r>
        <w:rPr>
          <w:rFonts w:ascii="Arial" w:hAnsi="Arial" w:cs="Arial"/>
        </w:rPr>
        <w:t xml:space="preserve"> plan </w:t>
      </w:r>
      <w:proofErr w:type="spellStart"/>
      <w:r>
        <w:rPr>
          <w:rFonts w:ascii="Arial" w:hAnsi="Arial" w:cs="Arial"/>
        </w:rPr>
        <w:t>dakle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prvih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stupaca</w:t>
      </w:r>
      <w:proofErr w:type="spellEnd"/>
      <w:r>
        <w:rPr>
          <w:rFonts w:ascii="Arial" w:hAnsi="Arial" w:cs="Arial"/>
        </w:rPr>
        <w:t>.</w:t>
      </w:r>
    </w:p>
    <w:p w14:paraId="44AA084C" w14:textId="77777777" w:rsidR="00DF7F6E" w:rsidRDefault="00DF7F6E" w:rsidP="00293011">
      <w:pPr>
        <w:ind w:firstLine="567"/>
        <w:jc w:val="both"/>
        <w:rPr>
          <w:rFonts w:ascii="Arial" w:hAnsi="Arial" w:cs="Arial"/>
        </w:rPr>
      </w:pPr>
    </w:p>
    <w:p w14:paraId="6DE2330D" w14:textId="38201942" w:rsidR="00AD72AE" w:rsidRDefault="00C063E1" w:rsidP="00293011">
      <w:pPr>
        <w:ind w:firstLine="567"/>
        <w:jc w:val="both"/>
        <w:rPr>
          <w:rFonts w:ascii="Arial" w:hAnsi="Arial" w:cs="Arial"/>
          <w:b/>
        </w:rPr>
      </w:pPr>
      <w:proofErr w:type="spellStart"/>
      <w:r w:rsidRPr="00C063E1">
        <w:rPr>
          <w:rFonts w:ascii="Arial" w:hAnsi="Arial" w:cs="Arial"/>
          <w:b/>
        </w:rPr>
        <w:t>Ovim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uputama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daju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gramStart"/>
      <w:r w:rsidRPr="00C063E1">
        <w:rPr>
          <w:rFonts w:ascii="Arial" w:hAnsi="Arial" w:cs="Arial"/>
          <w:b/>
        </w:rPr>
        <w:t xml:space="preserve">se  </w:t>
      </w:r>
      <w:proofErr w:type="spellStart"/>
      <w:r w:rsidRPr="00C063E1">
        <w:rPr>
          <w:rFonts w:ascii="Arial" w:hAnsi="Arial" w:cs="Arial"/>
          <w:b/>
        </w:rPr>
        <w:t>limiti</w:t>
      </w:r>
      <w:proofErr w:type="spellEnd"/>
      <w:proofErr w:type="gramEnd"/>
      <w:r w:rsidR="00DF7F6E" w:rsidRPr="00C063E1">
        <w:rPr>
          <w:rFonts w:ascii="Arial" w:hAnsi="Arial" w:cs="Arial"/>
          <w:b/>
        </w:rPr>
        <w:t xml:space="preserve"> </w:t>
      </w:r>
      <w:proofErr w:type="spellStart"/>
      <w:r w:rsidR="00DF7F6E" w:rsidRPr="00C063E1">
        <w:rPr>
          <w:rFonts w:ascii="Arial" w:hAnsi="Arial" w:cs="Arial"/>
          <w:b/>
        </w:rPr>
        <w:t>kojima</w:t>
      </w:r>
      <w:proofErr w:type="spellEnd"/>
      <w:r w:rsidR="00DF7F6E" w:rsidRPr="00C063E1">
        <w:rPr>
          <w:rFonts w:ascii="Arial" w:hAnsi="Arial" w:cs="Arial"/>
          <w:b/>
        </w:rPr>
        <w:t xml:space="preserve"> se </w:t>
      </w:r>
      <w:proofErr w:type="spellStart"/>
      <w:r w:rsidRPr="00C063E1">
        <w:rPr>
          <w:rFonts w:ascii="Arial" w:hAnsi="Arial" w:cs="Arial"/>
          <w:b/>
        </w:rPr>
        <w:t>limitiraju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isključivo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sredstva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koja</w:t>
      </w:r>
      <w:proofErr w:type="spellEnd"/>
      <w:r w:rsidRPr="00C063E1">
        <w:rPr>
          <w:rFonts w:ascii="Arial" w:hAnsi="Arial" w:cs="Arial"/>
          <w:b/>
        </w:rPr>
        <w:t xml:space="preserve"> se </w:t>
      </w:r>
      <w:proofErr w:type="spellStart"/>
      <w:r w:rsidRPr="00C063E1">
        <w:rPr>
          <w:rFonts w:ascii="Arial" w:hAnsi="Arial" w:cs="Arial"/>
          <w:b/>
        </w:rPr>
        <w:t>ostvaruju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iz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proračuna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Grada</w:t>
      </w:r>
      <w:proofErr w:type="spellEnd"/>
      <w:r w:rsidRPr="00C063E1">
        <w:rPr>
          <w:rFonts w:ascii="Arial" w:hAnsi="Arial" w:cs="Arial"/>
          <w:b/>
        </w:rPr>
        <w:t xml:space="preserve"> Garešnica</w:t>
      </w:r>
      <w:r w:rsidR="005D2174">
        <w:rPr>
          <w:rFonts w:ascii="Arial" w:hAnsi="Arial" w:cs="Arial"/>
          <w:b/>
        </w:rPr>
        <w:t xml:space="preserve"> (</w:t>
      </w:r>
      <w:proofErr w:type="spellStart"/>
      <w:r w:rsidR="005D2174">
        <w:rPr>
          <w:rFonts w:ascii="Arial" w:hAnsi="Arial" w:cs="Arial"/>
          <w:b/>
        </w:rPr>
        <w:t>opći</w:t>
      </w:r>
      <w:proofErr w:type="spellEnd"/>
      <w:r w:rsidR="005D2174">
        <w:rPr>
          <w:rFonts w:ascii="Arial" w:hAnsi="Arial" w:cs="Arial"/>
          <w:b/>
        </w:rPr>
        <w:t xml:space="preserve"> </w:t>
      </w:r>
      <w:proofErr w:type="spellStart"/>
      <w:r w:rsidR="005D2174">
        <w:rPr>
          <w:rFonts w:ascii="Arial" w:hAnsi="Arial" w:cs="Arial"/>
          <w:b/>
        </w:rPr>
        <w:t>prihodi</w:t>
      </w:r>
      <w:proofErr w:type="spellEnd"/>
      <w:r w:rsidR="005D2174">
        <w:rPr>
          <w:rFonts w:ascii="Arial" w:hAnsi="Arial" w:cs="Arial"/>
          <w:b/>
        </w:rPr>
        <w:t xml:space="preserve"> </w:t>
      </w:r>
      <w:proofErr w:type="spellStart"/>
      <w:r w:rsidR="005D2174">
        <w:rPr>
          <w:rFonts w:ascii="Arial" w:hAnsi="Arial" w:cs="Arial"/>
          <w:b/>
        </w:rPr>
        <w:t>i</w:t>
      </w:r>
      <w:proofErr w:type="spellEnd"/>
      <w:r w:rsidR="005D2174">
        <w:rPr>
          <w:rFonts w:ascii="Arial" w:hAnsi="Arial" w:cs="Arial"/>
          <w:b/>
        </w:rPr>
        <w:t xml:space="preserve"> </w:t>
      </w:r>
      <w:proofErr w:type="spellStart"/>
      <w:r w:rsidR="005D2174">
        <w:rPr>
          <w:rFonts w:ascii="Arial" w:hAnsi="Arial" w:cs="Arial"/>
          <w:b/>
        </w:rPr>
        <w:t>primici</w:t>
      </w:r>
      <w:proofErr w:type="spellEnd"/>
      <w:r w:rsidR="00AD72AE">
        <w:rPr>
          <w:rFonts w:ascii="Arial" w:hAnsi="Arial" w:cs="Arial"/>
          <w:b/>
        </w:rPr>
        <w:t>,</w:t>
      </w:r>
      <w:r w:rsidR="005D2174">
        <w:rPr>
          <w:rFonts w:ascii="Arial" w:hAnsi="Arial" w:cs="Arial"/>
          <w:b/>
        </w:rPr>
        <w:t xml:space="preserve"> </w:t>
      </w:r>
      <w:proofErr w:type="spellStart"/>
      <w:r w:rsidR="005D2174">
        <w:rPr>
          <w:rFonts w:ascii="Arial" w:hAnsi="Arial" w:cs="Arial"/>
          <w:b/>
        </w:rPr>
        <w:t>vlastiti</w:t>
      </w:r>
      <w:proofErr w:type="spellEnd"/>
      <w:r w:rsidR="005D2174">
        <w:rPr>
          <w:rFonts w:ascii="Arial" w:hAnsi="Arial" w:cs="Arial"/>
          <w:b/>
        </w:rPr>
        <w:t xml:space="preserve"> </w:t>
      </w:r>
      <w:proofErr w:type="spellStart"/>
      <w:r w:rsidR="005D2174">
        <w:rPr>
          <w:rFonts w:ascii="Arial" w:hAnsi="Arial" w:cs="Arial"/>
          <w:b/>
        </w:rPr>
        <w:t>prihodi</w:t>
      </w:r>
      <w:proofErr w:type="spellEnd"/>
      <w:r w:rsidR="005D2174">
        <w:rPr>
          <w:rFonts w:ascii="Arial" w:hAnsi="Arial" w:cs="Arial"/>
          <w:b/>
        </w:rPr>
        <w:t xml:space="preserve"> </w:t>
      </w:r>
      <w:proofErr w:type="spellStart"/>
      <w:r w:rsidR="005D2174">
        <w:rPr>
          <w:rFonts w:ascii="Arial" w:hAnsi="Arial" w:cs="Arial"/>
          <w:b/>
        </w:rPr>
        <w:t>Grada</w:t>
      </w:r>
      <w:proofErr w:type="spellEnd"/>
      <w:r w:rsidR="00AD72AE">
        <w:rPr>
          <w:rFonts w:ascii="Arial" w:hAnsi="Arial" w:cs="Arial"/>
          <w:b/>
        </w:rPr>
        <w:t xml:space="preserve">, </w:t>
      </w:r>
      <w:proofErr w:type="spellStart"/>
      <w:r w:rsidR="00AD72AE">
        <w:rPr>
          <w:rFonts w:ascii="Arial" w:hAnsi="Arial" w:cs="Arial"/>
          <w:b/>
        </w:rPr>
        <w:t>pomoći</w:t>
      </w:r>
      <w:proofErr w:type="spellEnd"/>
      <w:r w:rsidR="00AD72AE">
        <w:rPr>
          <w:rFonts w:ascii="Arial" w:hAnsi="Arial" w:cs="Arial"/>
          <w:b/>
        </w:rPr>
        <w:t xml:space="preserve"> </w:t>
      </w:r>
      <w:proofErr w:type="spellStart"/>
      <w:r w:rsidR="00AD72AE">
        <w:rPr>
          <w:rFonts w:ascii="Arial" w:hAnsi="Arial" w:cs="Arial"/>
          <w:b/>
        </w:rPr>
        <w:t>iz</w:t>
      </w:r>
      <w:proofErr w:type="spellEnd"/>
      <w:r w:rsidR="00AD72AE">
        <w:rPr>
          <w:rFonts w:ascii="Arial" w:hAnsi="Arial" w:cs="Arial"/>
          <w:b/>
        </w:rPr>
        <w:t xml:space="preserve"> </w:t>
      </w:r>
      <w:proofErr w:type="spellStart"/>
      <w:r w:rsidR="00AD72AE">
        <w:rPr>
          <w:rFonts w:ascii="Arial" w:hAnsi="Arial" w:cs="Arial"/>
          <w:b/>
        </w:rPr>
        <w:t>državnog</w:t>
      </w:r>
      <w:proofErr w:type="spellEnd"/>
      <w:r w:rsidR="00AD72AE">
        <w:rPr>
          <w:rFonts w:ascii="Arial" w:hAnsi="Arial" w:cs="Arial"/>
          <w:b/>
        </w:rPr>
        <w:t xml:space="preserve"> </w:t>
      </w:r>
      <w:proofErr w:type="spellStart"/>
      <w:r w:rsidR="00AD72AE">
        <w:rPr>
          <w:rFonts w:ascii="Arial" w:hAnsi="Arial" w:cs="Arial"/>
          <w:b/>
        </w:rPr>
        <w:t>i</w:t>
      </w:r>
      <w:proofErr w:type="spellEnd"/>
      <w:r w:rsidR="00AD72AE">
        <w:rPr>
          <w:rFonts w:ascii="Arial" w:hAnsi="Arial" w:cs="Arial"/>
          <w:b/>
        </w:rPr>
        <w:t xml:space="preserve"> </w:t>
      </w:r>
      <w:proofErr w:type="spellStart"/>
      <w:r w:rsidR="00AD72AE">
        <w:rPr>
          <w:rFonts w:ascii="Arial" w:hAnsi="Arial" w:cs="Arial"/>
          <w:b/>
        </w:rPr>
        <w:t>općinskog</w:t>
      </w:r>
      <w:proofErr w:type="spellEnd"/>
      <w:r w:rsidR="00AD72AE">
        <w:rPr>
          <w:rFonts w:ascii="Arial" w:hAnsi="Arial" w:cs="Arial"/>
          <w:b/>
        </w:rPr>
        <w:t xml:space="preserve"> </w:t>
      </w:r>
      <w:proofErr w:type="spellStart"/>
      <w:r w:rsidR="00AD72AE">
        <w:rPr>
          <w:rFonts w:ascii="Arial" w:hAnsi="Arial" w:cs="Arial"/>
          <w:b/>
        </w:rPr>
        <w:t>proračuna</w:t>
      </w:r>
      <w:proofErr w:type="spellEnd"/>
      <w:r w:rsidR="00AD72AE">
        <w:rPr>
          <w:rFonts w:ascii="Arial" w:hAnsi="Arial" w:cs="Arial"/>
          <w:b/>
        </w:rPr>
        <w:t xml:space="preserve"> za </w:t>
      </w:r>
      <w:proofErr w:type="spellStart"/>
      <w:r w:rsidR="00AD72AE">
        <w:rPr>
          <w:rFonts w:ascii="Arial" w:hAnsi="Arial" w:cs="Arial"/>
          <w:b/>
        </w:rPr>
        <w:t>decentralizirane</w:t>
      </w:r>
      <w:proofErr w:type="spellEnd"/>
      <w:r w:rsidR="00AD72AE">
        <w:rPr>
          <w:rFonts w:ascii="Arial" w:hAnsi="Arial" w:cs="Arial"/>
          <w:b/>
        </w:rPr>
        <w:t xml:space="preserve"> </w:t>
      </w:r>
      <w:proofErr w:type="spellStart"/>
      <w:r w:rsidR="00AD72AE">
        <w:rPr>
          <w:rFonts w:ascii="Arial" w:hAnsi="Arial" w:cs="Arial"/>
          <w:b/>
        </w:rPr>
        <w:t>funkcije</w:t>
      </w:r>
      <w:proofErr w:type="spellEnd"/>
      <w:r w:rsidR="00AD72AE">
        <w:rPr>
          <w:rFonts w:ascii="Arial" w:hAnsi="Arial" w:cs="Arial"/>
          <w:b/>
        </w:rPr>
        <w:t xml:space="preserve"> </w:t>
      </w:r>
      <w:proofErr w:type="spellStart"/>
      <w:r w:rsidR="00AD72AE">
        <w:rPr>
          <w:rFonts w:ascii="Arial" w:hAnsi="Arial" w:cs="Arial"/>
          <w:b/>
        </w:rPr>
        <w:t>vatrogastvo</w:t>
      </w:r>
      <w:proofErr w:type="spellEnd"/>
      <w:r w:rsidR="00E61979">
        <w:rPr>
          <w:rFonts w:ascii="Arial" w:hAnsi="Arial" w:cs="Arial"/>
          <w:b/>
        </w:rPr>
        <w:t>)</w:t>
      </w:r>
    </w:p>
    <w:p w14:paraId="4A0D28E5" w14:textId="2EA793EA" w:rsidR="00DF7F6E" w:rsidRPr="00C063E1" w:rsidRDefault="00C063E1" w:rsidP="00293011">
      <w:pPr>
        <w:ind w:firstLine="567"/>
        <w:jc w:val="both"/>
        <w:rPr>
          <w:rFonts w:ascii="Arial" w:hAnsi="Arial" w:cs="Arial"/>
          <w:b/>
        </w:rPr>
      </w:pPr>
      <w:proofErr w:type="spellStart"/>
      <w:r w:rsidRPr="00C063E1">
        <w:rPr>
          <w:rFonts w:ascii="Arial" w:hAnsi="Arial" w:cs="Arial"/>
          <w:b/>
        </w:rPr>
        <w:t>Vlastiti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i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namjenski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izvori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financiranja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svakog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pojedinog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proračunskog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korisnika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nisu</w:t>
      </w:r>
      <w:proofErr w:type="spellEnd"/>
      <w:r w:rsidRPr="00C063E1">
        <w:rPr>
          <w:rFonts w:ascii="Arial" w:hAnsi="Arial" w:cs="Arial"/>
          <w:b/>
        </w:rPr>
        <w:t xml:space="preserve"> </w:t>
      </w:r>
      <w:proofErr w:type="spellStart"/>
      <w:r w:rsidRPr="00C063E1">
        <w:rPr>
          <w:rFonts w:ascii="Arial" w:hAnsi="Arial" w:cs="Arial"/>
          <w:b/>
        </w:rPr>
        <w:t>navedeni</w:t>
      </w:r>
      <w:proofErr w:type="spellEnd"/>
      <w:r w:rsidRPr="00C063E1">
        <w:rPr>
          <w:rFonts w:ascii="Arial" w:hAnsi="Arial" w:cs="Arial"/>
          <w:b/>
        </w:rPr>
        <w:t>.</w:t>
      </w:r>
    </w:p>
    <w:p w14:paraId="75E6B87F" w14:textId="77777777" w:rsidR="00802DBF" w:rsidRPr="008956D7" w:rsidRDefault="00802DBF" w:rsidP="00293011">
      <w:pPr>
        <w:ind w:firstLine="567"/>
        <w:jc w:val="both"/>
        <w:rPr>
          <w:rFonts w:ascii="Arial" w:hAnsi="Arial" w:cs="Arial"/>
        </w:rPr>
      </w:pPr>
    </w:p>
    <w:p w14:paraId="2F40E223" w14:textId="77777777" w:rsidR="00655D62" w:rsidRDefault="00802DBF" w:rsidP="0058428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Prijedlog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visine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financijskog</w:t>
      </w:r>
      <w:proofErr w:type="spellEnd"/>
      <w:r>
        <w:rPr>
          <w:rFonts w:ascii="Arial" w:hAnsi="Arial" w:cs="Arial"/>
          <w:b/>
        </w:rPr>
        <w:t xml:space="preserve"> plana za </w:t>
      </w:r>
      <w:proofErr w:type="spellStart"/>
      <w:r>
        <w:rPr>
          <w:rFonts w:ascii="Arial" w:hAnsi="Arial" w:cs="Arial"/>
          <w:b/>
        </w:rPr>
        <w:t>proračunske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korisnike</w:t>
      </w:r>
      <w:proofErr w:type="spellEnd"/>
    </w:p>
    <w:p w14:paraId="6730383F" w14:textId="77777777" w:rsidR="00584282" w:rsidRDefault="00584282" w:rsidP="00584282">
      <w:pPr>
        <w:jc w:val="center"/>
        <w:rPr>
          <w:rFonts w:ascii="Arial" w:hAnsi="Arial" w:cs="Arial"/>
          <w:b/>
        </w:rPr>
      </w:pPr>
    </w:p>
    <w:tbl>
      <w:tblPr>
        <w:tblStyle w:val="Reetkatablic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418"/>
        <w:gridCol w:w="1276"/>
        <w:gridCol w:w="1133"/>
        <w:gridCol w:w="1275"/>
        <w:gridCol w:w="1134"/>
        <w:gridCol w:w="1134"/>
        <w:gridCol w:w="1135"/>
      </w:tblGrid>
      <w:tr w:rsidR="00F01CE1" w:rsidRPr="00C31FEE" w14:paraId="7EF4985C" w14:textId="77777777" w:rsidTr="00F01CE1">
        <w:trPr>
          <w:trHeight w:val="17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FEAB96E" w14:textId="77777777" w:rsidR="00F01CE1" w:rsidRPr="00F01CE1" w:rsidRDefault="00F01CE1" w:rsidP="005940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Razdjel</w:t>
            </w:r>
            <w:proofErr w:type="spellEnd"/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AD8840F" w14:textId="77777777" w:rsidR="00F01CE1" w:rsidRPr="00F01CE1" w:rsidRDefault="00F01CE1" w:rsidP="005940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Glava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F4EF7C9" w14:textId="77777777" w:rsidR="00F01CE1" w:rsidRPr="00F01CE1" w:rsidRDefault="00F01CE1" w:rsidP="005940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Naziv</w:t>
            </w:r>
            <w:proofErr w:type="spellEnd"/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3D292B0" w14:textId="45129664" w:rsidR="00F01CE1" w:rsidRPr="00F01CE1" w:rsidRDefault="00F01CE1" w:rsidP="005940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Izvršenje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2020.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14:paraId="2384A6AC" w14:textId="04B8E269" w:rsidR="00F01CE1" w:rsidRPr="00F01CE1" w:rsidRDefault="00F01CE1" w:rsidP="005940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Plan</w:t>
            </w:r>
          </w:p>
          <w:p w14:paraId="32FAE75B" w14:textId="53185AEC" w:rsidR="00F01CE1" w:rsidRPr="00F01CE1" w:rsidRDefault="00F01CE1" w:rsidP="005940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2021.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5E8A63DA" w14:textId="4745BF33" w:rsidR="00F01CE1" w:rsidRPr="00F01CE1" w:rsidRDefault="00F01CE1" w:rsidP="005940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Projekcija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2022.</w:t>
            </w:r>
          </w:p>
        </w:tc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14:paraId="7E257B35" w14:textId="0580E92B" w:rsidR="00F01CE1" w:rsidRPr="00F01CE1" w:rsidRDefault="00F01CE1" w:rsidP="005940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Projekcija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2023.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i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2024.</w:t>
            </w:r>
          </w:p>
        </w:tc>
      </w:tr>
      <w:tr w:rsidR="00F01CE1" w:rsidRPr="0059402A" w14:paraId="774F752E" w14:textId="77777777" w:rsidTr="00F01CE1">
        <w:trPr>
          <w:trHeight w:val="169"/>
        </w:trPr>
        <w:tc>
          <w:tcPr>
            <w:tcW w:w="567" w:type="dxa"/>
            <w:vMerge/>
          </w:tcPr>
          <w:p w14:paraId="08860839" w14:textId="77777777" w:rsidR="00F01CE1" w:rsidRPr="00F01CE1" w:rsidRDefault="00F01CE1" w:rsidP="005842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8F61D7E" w14:textId="77777777" w:rsidR="00F01CE1" w:rsidRPr="00F01CE1" w:rsidRDefault="00F01CE1" w:rsidP="005842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4D639C0" w14:textId="77777777" w:rsidR="00F01CE1" w:rsidRPr="00F01CE1" w:rsidRDefault="00F01CE1" w:rsidP="005842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DA60A7B" w14:textId="77777777" w:rsidR="00F01CE1" w:rsidRPr="00F01CE1" w:rsidRDefault="00F01CE1" w:rsidP="005842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19723F76" w14:textId="00523ACA" w:rsidR="00F01CE1" w:rsidRPr="00F01CE1" w:rsidRDefault="00F01CE1" w:rsidP="005842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EF95AFF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Limit 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24CD44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Limit 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E3815E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Limit A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1FE6E0EC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Limit B</w:t>
            </w:r>
          </w:p>
        </w:tc>
      </w:tr>
      <w:tr w:rsidR="00F01CE1" w:rsidRPr="00C31FEE" w14:paraId="1E83AE2A" w14:textId="77777777" w:rsidTr="00F01CE1">
        <w:tc>
          <w:tcPr>
            <w:tcW w:w="567" w:type="dxa"/>
          </w:tcPr>
          <w:p w14:paraId="3E4F4F6F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001</w:t>
            </w:r>
          </w:p>
        </w:tc>
        <w:tc>
          <w:tcPr>
            <w:tcW w:w="709" w:type="dxa"/>
          </w:tcPr>
          <w:p w14:paraId="03A73A8E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00101</w:t>
            </w:r>
          </w:p>
        </w:tc>
        <w:tc>
          <w:tcPr>
            <w:tcW w:w="1418" w:type="dxa"/>
          </w:tcPr>
          <w:p w14:paraId="2C33E4D2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Gradsko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vijeće</w:t>
            </w:r>
            <w:proofErr w:type="spellEnd"/>
          </w:p>
          <w:p w14:paraId="417E1C46" w14:textId="48136C70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1FB7C9E" w14:textId="406A8D5A" w:rsidR="00F01CE1" w:rsidRPr="00F01CE1" w:rsidRDefault="00F01CE1" w:rsidP="00F01CE1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157.620,37</w:t>
            </w:r>
          </w:p>
        </w:tc>
        <w:tc>
          <w:tcPr>
            <w:tcW w:w="1133" w:type="dxa"/>
            <w:vAlign w:val="center"/>
          </w:tcPr>
          <w:p w14:paraId="1E0F763C" w14:textId="3BE09DD0" w:rsidR="00F01CE1" w:rsidRPr="00F01CE1" w:rsidRDefault="006B22D6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564.000,00</w:t>
            </w:r>
          </w:p>
        </w:tc>
        <w:tc>
          <w:tcPr>
            <w:tcW w:w="1275" w:type="dxa"/>
            <w:vAlign w:val="center"/>
          </w:tcPr>
          <w:p w14:paraId="5237963D" w14:textId="4D8ADD75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300.000,00</w:t>
            </w:r>
          </w:p>
        </w:tc>
        <w:tc>
          <w:tcPr>
            <w:tcW w:w="1134" w:type="dxa"/>
            <w:vAlign w:val="center"/>
          </w:tcPr>
          <w:p w14:paraId="398B9613" w14:textId="365F2551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350.000,00</w:t>
            </w:r>
          </w:p>
        </w:tc>
        <w:tc>
          <w:tcPr>
            <w:tcW w:w="1134" w:type="dxa"/>
            <w:vAlign w:val="center"/>
          </w:tcPr>
          <w:p w14:paraId="3B0930AB" w14:textId="77777777" w:rsidR="00F01CE1" w:rsidRPr="00F01CE1" w:rsidRDefault="00F01CE1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200.000,00</w:t>
            </w:r>
          </w:p>
        </w:tc>
        <w:tc>
          <w:tcPr>
            <w:tcW w:w="1135" w:type="dxa"/>
            <w:vAlign w:val="center"/>
          </w:tcPr>
          <w:p w14:paraId="6A9CDAD3" w14:textId="301A76C5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250.000,00</w:t>
            </w:r>
          </w:p>
        </w:tc>
      </w:tr>
      <w:tr w:rsidR="00F01CE1" w:rsidRPr="00C31FEE" w14:paraId="5E9F877E" w14:textId="77777777" w:rsidTr="00F01CE1">
        <w:tc>
          <w:tcPr>
            <w:tcW w:w="567" w:type="dxa"/>
          </w:tcPr>
          <w:p w14:paraId="3CBD4F1C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001</w:t>
            </w:r>
          </w:p>
        </w:tc>
        <w:tc>
          <w:tcPr>
            <w:tcW w:w="709" w:type="dxa"/>
          </w:tcPr>
          <w:p w14:paraId="4590B472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00102</w:t>
            </w:r>
          </w:p>
        </w:tc>
        <w:tc>
          <w:tcPr>
            <w:tcW w:w="1418" w:type="dxa"/>
          </w:tcPr>
          <w:p w14:paraId="7A3A3037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Ured gradonačelnika</w:t>
            </w:r>
          </w:p>
          <w:p w14:paraId="5B6759FF" w14:textId="45697855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B3505C" w14:textId="2DA0F254" w:rsidR="00F01CE1" w:rsidRPr="00F01CE1" w:rsidRDefault="00F01CE1" w:rsidP="00F01CE1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489.443,17</w:t>
            </w:r>
          </w:p>
        </w:tc>
        <w:tc>
          <w:tcPr>
            <w:tcW w:w="1133" w:type="dxa"/>
            <w:vAlign w:val="center"/>
          </w:tcPr>
          <w:p w14:paraId="26F46AA6" w14:textId="595E53A5" w:rsidR="00F01CE1" w:rsidRPr="00F01CE1" w:rsidRDefault="006B22D6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722.000,00</w:t>
            </w:r>
          </w:p>
        </w:tc>
        <w:tc>
          <w:tcPr>
            <w:tcW w:w="1275" w:type="dxa"/>
            <w:vAlign w:val="center"/>
          </w:tcPr>
          <w:p w14:paraId="09AC2213" w14:textId="03B5477B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710.000,00</w:t>
            </w:r>
          </w:p>
        </w:tc>
        <w:tc>
          <w:tcPr>
            <w:tcW w:w="1134" w:type="dxa"/>
            <w:vAlign w:val="center"/>
          </w:tcPr>
          <w:p w14:paraId="2BA3D61F" w14:textId="1D83B7B1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720.000,00</w:t>
            </w:r>
          </w:p>
        </w:tc>
        <w:tc>
          <w:tcPr>
            <w:tcW w:w="1134" w:type="dxa"/>
            <w:vAlign w:val="center"/>
          </w:tcPr>
          <w:p w14:paraId="475A24F9" w14:textId="196778CD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710.000,00</w:t>
            </w:r>
          </w:p>
        </w:tc>
        <w:tc>
          <w:tcPr>
            <w:tcW w:w="1135" w:type="dxa"/>
            <w:vAlign w:val="center"/>
          </w:tcPr>
          <w:p w14:paraId="684949C2" w14:textId="101BB991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720.000,00</w:t>
            </w:r>
          </w:p>
        </w:tc>
      </w:tr>
      <w:tr w:rsidR="00F01CE1" w:rsidRPr="00C31FEE" w14:paraId="67A02DF2" w14:textId="77777777" w:rsidTr="00F01CE1">
        <w:tc>
          <w:tcPr>
            <w:tcW w:w="567" w:type="dxa"/>
          </w:tcPr>
          <w:p w14:paraId="291DDBD2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002</w:t>
            </w:r>
          </w:p>
        </w:tc>
        <w:tc>
          <w:tcPr>
            <w:tcW w:w="709" w:type="dxa"/>
          </w:tcPr>
          <w:p w14:paraId="7986C21B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00201</w:t>
            </w:r>
          </w:p>
        </w:tc>
        <w:tc>
          <w:tcPr>
            <w:tcW w:w="1418" w:type="dxa"/>
          </w:tcPr>
          <w:p w14:paraId="41D17634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Upravni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odjel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za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gospodarstvo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i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opće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poslove</w:t>
            </w:r>
            <w:proofErr w:type="spellEnd"/>
          </w:p>
        </w:tc>
        <w:tc>
          <w:tcPr>
            <w:tcW w:w="1276" w:type="dxa"/>
            <w:vAlign w:val="center"/>
          </w:tcPr>
          <w:p w14:paraId="5603752C" w14:textId="6515B47A" w:rsidR="00F01CE1" w:rsidRPr="00F01CE1" w:rsidRDefault="00E61979" w:rsidP="00F01CE1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14.649.365,27</w:t>
            </w:r>
          </w:p>
        </w:tc>
        <w:tc>
          <w:tcPr>
            <w:tcW w:w="1133" w:type="dxa"/>
            <w:vAlign w:val="center"/>
          </w:tcPr>
          <w:p w14:paraId="1BB06E0D" w14:textId="5FE54A36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15.987.000,00</w:t>
            </w:r>
          </w:p>
        </w:tc>
        <w:tc>
          <w:tcPr>
            <w:tcW w:w="1275" w:type="dxa"/>
            <w:vAlign w:val="center"/>
          </w:tcPr>
          <w:p w14:paraId="5A7AB54C" w14:textId="2D638A48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14.500.000,00</w:t>
            </w:r>
          </w:p>
        </w:tc>
        <w:tc>
          <w:tcPr>
            <w:tcW w:w="1134" w:type="dxa"/>
            <w:vAlign w:val="center"/>
          </w:tcPr>
          <w:p w14:paraId="308A16E0" w14:textId="4AD0F6D8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15.000.000,00</w:t>
            </w:r>
          </w:p>
        </w:tc>
        <w:tc>
          <w:tcPr>
            <w:tcW w:w="1134" w:type="dxa"/>
            <w:vAlign w:val="center"/>
          </w:tcPr>
          <w:p w14:paraId="3C9C694A" w14:textId="5D74DA43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15.000.000,00</w:t>
            </w:r>
          </w:p>
        </w:tc>
        <w:tc>
          <w:tcPr>
            <w:tcW w:w="1135" w:type="dxa"/>
            <w:vAlign w:val="center"/>
          </w:tcPr>
          <w:p w14:paraId="57801486" w14:textId="390564F7" w:rsidR="00F01CE1" w:rsidRPr="00F01CE1" w:rsidRDefault="007F2D7A" w:rsidP="00395557">
            <w:pPr>
              <w:ind w:left="-105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15.500.000,00</w:t>
            </w:r>
          </w:p>
        </w:tc>
      </w:tr>
      <w:tr w:rsidR="00F01CE1" w:rsidRPr="00C31FEE" w14:paraId="4ED38199" w14:textId="77777777" w:rsidTr="00F01CE1">
        <w:tc>
          <w:tcPr>
            <w:tcW w:w="567" w:type="dxa"/>
          </w:tcPr>
          <w:p w14:paraId="070F91E2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002</w:t>
            </w:r>
          </w:p>
        </w:tc>
        <w:tc>
          <w:tcPr>
            <w:tcW w:w="709" w:type="dxa"/>
          </w:tcPr>
          <w:p w14:paraId="7B5C2CF7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00202</w:t>
            </w:r>
          </w:p>
        </w:tc>
        <w:tc>
          <w:tcPr>
            <w:tcW w:w="1418" w:type="dxa"/>
          </w:tcPr>
          <w:p w14:paraId="1A3603D5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Javna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vatrogasna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postrojba</w:t>
            </w:r>
            <w:proofErr w:type="spellEnd"/>
          </w:p>
        </w:tc>
        <w:tc>
          <w:tcPr>
            <w:tcW w:w="1276" w:type="dxa"/>
            <w:vAlign w:val="center"/>
          </w:tcPr>
          <w:p w14:paraId="37F1999B" w14:textId="010A2EA5" w:rsidR="00F01CE1" w:rsidRPr="00F01CE1" w:rsidRDefault="00E61979" w:rsidP="00F01CE1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3.396.126,06</w:t>
            </w:r>
          </w:p>
        </w:tc>
        <w:tc>
          <w:tcPr>
            <w:tcW w:w="1133" w:type="dxa"/>
            <w:vAlign w:val="center"/>
          </w:tcPr>
          <w:p w14:paraId="253DBED9" w14:textId="6D7A21D8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3.999.000,00</w:t>
            </w:r>
          </w:p>
        </w:tc>
        <w:tc>
          <w:tcPr>
            <w:tcW w:w="1275" w:type="dxa"/>
            <w:vAlign w:val="center"/>
          </w:tcPr>
          <w:p w14:paraId="4CCF54B6" w14:textId="53BE2B5B" w:rsidR="00F01CE1" w:rsidRPr="00F01CE1" w:rsidRDefault="006B22D6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4.500.000,00</w:t>
            </w:r>
          </w:p>
        </w:tc>
        <w:tc>
          <w:tcPr>
            <w:tcW w:w="1134" w:type="dxa"/>
            <w:vAlign w:val="center"/>
          </w:tcPr>
          <w:p w14:paraId="48F1A7B4" w14:textId="1DDA9181" w:rsidR="00F01CE1" w:rsidRPr="00F01CE1" w:rsidRDefault="00F01CE1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4.</w:t>
            </w:r>
            <w:r w:rsidR="006B22D6">
              <w:rPr>
                <w:rFonts w:ascii="Arial Narrow" w:hAnsi="Arial Narrow" w:cs="Arial"/>
                <w:sz w:val="16"/>
                <w:szCs w:val="16"/>
              </w:rPr>
              <w:t>6</w:t>
            </w:r>
            <w:r w:rsidRPr="00F01CE1">
              <w:rPr>
                <w:rFonts w:ascii="Arial Narrow" w:hAnsi="Arial Narrow" w:cs="Arial"/>
                <w:sz w:val="16"/>
                <w:szCs w:val="16"/>
              </w:rPr>
              <w:t>00.000,00</w:t>
            </w:r>
          </w:p>
        </w:tc>
        <w:tc>
          <w:tcPr>
            <w:tcW w:w="1134" w:type="dxa"/>
            <w:vAlign w:val="center"/>
          </w:tcPr>
          <w:p w14:paraId="79BB7935" w14:textId="3CA36D25" w:rsidR="00F01CE1" w:rsidRPr="00F01CE1" w:rsidRDefault="006B22D6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4.5</w:t>
            </w:r>
            <w:r w:rsidR="007F2D7A">
              <w:rPr>
                <w:rFonts w:ascii="Arial Narrow" w:hAnsi="Arial Narrow" w:cs="Arial"/>
                <w:sz w:val="16"/>
                <w:szCs w:val="16"/>
              </w:rPr>
              <w:t>5</w:t>
            </w:r>
            <w:r>
              <w:rPr>
                <w:rFonts w:ascii="Arial Narrow" w:hAnsi="Arial Narrow" w:cs="Arial"/>
                <w:sz w:val="16"/>
                <w:szCs w:val="16"/>
              </w:rPr>
              <w:t>0.000,00</w:t>
            </w:r>
          </w:p>
        </w:tc>
        <w:tc>
          <w:tcPr>
            <w:tcW w:w="1135" w:type="dxa"/>
            <w:vAlign w:val="center"/>
          </w:tcPr>
          <w:p w14:paraId="2825D7C6" w14:textId="056199DA" w:rsidR="00F01CE1" w:rsidRPr="00F01CE1" w:rsidRDefault="00F01CE1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4.</w:t>
            </w:r>
            <w:r w:rsidR="006B22D6">
              <w:rPr>
                <w:rFonts w:ascii="Arial Narrow" w:hAnsi="Arial Narrow" w:cs="Arial"/>
                <w:sz w:val="16"/>
                <w:szCs w:val="16"/>
              </w:rPr>
              <w:t>6</w:t>
            </w:r>
            <w:r w:rsidRPr="00F01CE1">
              <w:rPr>
                <w:rFonts w:ascii="Arial Narrow" w:hAnsi="Arial Narrow" w:cs="Arial"/>
                <w:sz w:val="16"/>
                <w:szCs w:val="16"/>
              </w:rPr>
              <w:t>00.000,00</w:t>
            </w:r>
          </w:p>
        </w:tc>
      </w:tr>
      <w:tr w:rsidR="00F01CE1" w:rsidRPr="00C31FEE" w14:paraId="66F38718" w14:textId="77777777" w:rsidTr="00F01CE1">
        <w:tc>
          <w:tcPr>
            <w:tcW w:w="567" w:type="dxa"/>
          </w:tcPr>
          <w:p w14:paraId="231FAD0A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002</w:t>
            </w:r>
          </w:p>
        </w:tc>
        <w:tc>
          <w:tcPr>
            <w:tcW w:w="709" w:type="dxa"/>
          </w:tcPr>
          <w:p w14:paraId="113E2609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00203</w:t>
            </w:r>
          </w:p>
        </w:tc>
        <w:tc>
          <w:tcPr>
            <w:tcW w:w="1418" w:type="dxa"/>
          </w:tcPr>
          <w:p w14:paraId="1845F31A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Dječji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vrtić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“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Maslačak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>” Garešnica</w:t>
            </w:r>
          </w:p>
        </w:tc>
        <w:tc>
          <w:tcPr>
            <w:tcW w:w="1276" w:type="dxa"/>
            <w:vAlign w:val="center"/>
          </w:tcPr>
          <w:p w14:paraId="42B51505" w14:textId="6EAE33C6" w:rsidR="00F01CE1" w:rsidRPr="00F01CE1" w:rsidRDefault="001103DC" w:rsidP="00F01CE1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4.890.542,21</w:t>
            </w:r>
          </w:p>
        </w:tc>
        <w:tc>
          <w:tcPr>
            <w:tcW w:w="1133" w:type="dxa"/>
            <w:vAlign w:val="center"/>
          </w:tcPr>
          <w:p w14:paraId="4E8BD907" w14:textId="70F18E39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7.195.000,00</w:t>
            </w:r>
          </w:p>
        </w:tc>
        <w:tc>
          <w:tcPr>
            <w:tcW w:w="1275" w:type="dxa"/>
            <w:vAlign w:val="center"/>
          </w:tcPr>
          <w:p w14:paraId="6611BE4D" w14:textId="1CC95B26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7.200.000,00</w:t>
            </w:r>
          </w:p>
        </w:tc>
        <w:tc>
          <w:tcPr>
            <w:tcW w:w="1134" w:type="dxa"/>
            <w:vAlign w:val="center"/>
          </w:tcPr>
          <w:p w14:paraId="51BE8B3B" w14:textId="25AE0171" w:rsidR="00F01CE1" w:rsidRPr="00F01CE1" w:rsidRDefault="007F2D7A" w:rsidP="00CA7FF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7.500.000,00</w:t>
            </w:r>
          </w:p>
        </w:tc>
        <w:tc>
          <w:tcPr>
            <w:tcW w:w="1134" w:type="dxa"/>
            <w:vAlign w:val="center"/>
          </w:tcPr>
          <w:p w14:paraId="15F0288F" w14:textId="10D325CE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7.300.000,00</w:t>
            </w:r>
          </w:p>
        </w:tc>
        <w:tc>
          <w:tcPr>
            <w:tcW w:w="1135" w:type="dxa"/>
            <w:vAlign w:val="center"/>
          </w:tcPr>
          <w:p w14:paraId="3950AC6C" w14:textId="57699E13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</w:t>
            </w:r>
            <w:r w:rsidR="00C163F4">
              <w:rPr>
                <w:rFonts w:ascii="Arial Narrow" w:hAnsi="Arial Narrow" w:cs="Arial"/>
                <w:sz w:val="16"/>
                <w:szCs w:val="16"/>
              </w:rPr>
              <w:t>7</w:t>
            </w:r>
            <w:r>
              <w:rPr>
                <w:rFonts w:ascii="Arial Narrow" w:hAnsi="Arial Narrow" w:cs="Arial"/>
                <w:sz w:val="16"/>
                <w:szCs w:val="16"/>
              </w:rPr>
              <w:t>00.000,00</w:t>
            </w:r>
          </w:p>
        </w:tc>
      </w:tr>
      <w:tr w:rsidR="00F01CE1" w:rsidRPr="00C31FEE" w14:paraId="134927F1" w14:textId="77777777" w:rsidTr="00F01CE1">
        <w:tc>
          <w:tcPr>
            <w:tcW w:w="567" w:type="dxa"/>
          </w:tcPr>
          <w:p w14:paraId="27929816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002</w:t>
            </w:r>
          </w:p>
        </w:tc>
        <w:tc>
          <w:tcPr>
            <w:tcW w:w="709" w:type="dxa"/>
          </w:tcPr>
          <w:p w14:paraId="3DE13AD7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00204</w:t>
            </w:r>
          </w:p>
        </w:tc>
        <w:tc>
          <w:tcPr>
            <w:tcW w:w="1418" w:type="dxa"/>
          </w:tcPr>
          <w:p w14:paraId="049B2273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Hrv.knjižnica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i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čitaonica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“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Đuro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Sudeta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>” Garešnica</w:t>
            </w:r>
          </w:p>
        </w:tc>
        <w:tc>
          <w:tcPr>
            <w:tcW w:w="1276" w:type="dxa"/>
            <w:vAlign w:val="center"/>
          </w:tcPr>
          <w:p w14:paraId="31D3D5AD" w14:textId="35384A24" w:rsidR="00F01CE1" w:rsidRPr="00F01CE1" w:rsidRDefault="001103DC" w:rsidP="00F01CE1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363.765,93</w:t>
            </w:r>
          </w:p>
        </w:tc>
        <w:tc>
          <w:tcPr>
            <w:tcW w:w="1133" w:type="dxa"/>
            <w:vAlign w:val="center"/>
          </w:tcPr>
          <w:p w14:paraId="4E854F2C" w14:textId="09B2AF91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469.300,00</w:t>
            </w:r>
          </w:p>
        </w:tc>
        <w:tc>
          <w:tcPr>
            <w:tcW w:w="1275" w:type="dxa"/>
            <w:vAlign w:val="center"/>
          </w:tcPr>
          <w:p w14:paraId="6B3B2A11" w14:textId="1D46EE07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450.000,00</w:t>
            </w:r>
          </w:p>
        </w:tc>
        <w:tc>
          <w:tcPr>
            <w:tcW w:w="1134" w:type="dxa"/>
            <w:vAlign w:val="center"/>
          </w:tcPr>
          <w:p w14:paraId="57C9BB45" w14:textId="2AFF3A55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500.000,00</w:t>
            </w:r>
          </w:p>
        </w:tc>
        <w:tc>
          <w:tcPr>
            <w:tcW w:w="1134" w:type="dxa"/>
            <w:vAlign w:val="center"/>
          </w:tcPr>
          <w:p w14:paraId="712231E3" w14:textId="0E72A330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500.000,00</w:t>
            </w:r>
          </w:p>
        </w:tc>
        <w:tc>
          <w:tcPr>
            <w:tcW w:w="1135" w:type="dxa"/>
            <w:vAlign w:val="center"/>
          </w:tcPr>
          <w:p w14:paraId="47E0B9EA" w14:textId="7DD123B6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550.000,00</w:t>
            </w:r>
          </w:p>
        </w:tc>
      </w:tr>
      <w:tr w:rsidR="00F01CE1" w:rsidRPr="00C31FEE" w14:paraId="7A040009" w14:textId="77777777" w:rsidTr="00F01CE1">
        <w:tc>
          <w:tcPr>
            <w:tcW w:w="567" w:type="dxa"/>
          </w:tcPr>
          <w:p w14:paraId="788E0B89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003</w:t>
            </w:r>
          </w:p>
        </w:tc>
        <w:tc>
          <w:tcPr>
            <w:tcW w:w="709" w:type="dxa"/>
          </w:tcPr>
          <w:p w14:paraId="7C5D6F71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00301</w:t>
            </w:r>
          </w:p>
        </w:tc>
        <w:tc>
          <w:tcPr>
            <w:tcW w:w="1418" w:type="dxa"/>
          </w:tcPr>
          <w:p w14:paraId="278938D0" w14:textId="77777777" w:rsidR="00F01CE1" w:rsidRPr="00F01CE1" w:rsidRDefault="00F01CE1" w:rsidP="005842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Upravni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odjel</w:t>
            </w:r>
            <w:proofErr w:type="spellEnd"/>
            <w:r w:rsidRPr="00F01CE1">
              <w:rPr>
                <w:rFonts w:ascii="Arial Narrow" w:hAnsi="Arial Narrow" w:cs="Arial"/>
                <w:sz w:val="16"/>
                <w:szCs w:val="16"/>
              </w:rPr>
              <w:t xml:space="preserve"> za </w:t>
            </w:r>
            <w:proofErr w:type="spellStart"/>
            <w:r w:rsidRPr="00F01CE1">
              <w:rPr>
                <w:rFonts w:ascii="Arial Narrow" w:hAnsi="Arial Narrow" w:cs="Arial"/>
                <w:sz w:val="16"/>
                <w:szCs w:val="16"/>
              </w:rPr>
              <w:t>financije</w:t>
            </w:r>
            <w:proofErr w:type="spellEnd"/>
          </w:p>
        </w:tc>
        <w:tc>
          <w:tcPr>
            <w:tcW w:w="1276" w:type="dxa"/>
            <w:vAlign w:val="center"/>
          </w:tcPr>
          <w:p w14:paraId="258B1B43" w14:textId="3CC36764" w:rsidR="00F01CE1" w:rsidRPr="00F01CE1" w:rsidRDefault="001103DC" w:rsidP="00F01CE1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569.552,61</w:t>
            </w:r>
          </w:p>
        </w:tc>
        <w:tc>
          <w:tcPr>
            <w:tcW w:w="1133" w:type="dxa"/>
            <w:vAlign w:val="center"/>
          </w:tcPr>
          <w:p w14:paraId="565559A7" w14:textId="63E63AD2" w:rsidR="00F01CE1" w:rsidRPr="00F01CE1" w:rsidRDefault="001103DC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724.000,00</w:t>
            </w:r>
          </w:p>
        </w:tc>
        <w:tc>
          <w:tcPr>
            <w:tcW w:w="1275" w:type="dxa"/>
            <w:vAlign w:val="center"/>
          </w:tcPr>
          <w:p w14:paraId="235D508F" w14:textId="34758C32" w:rsidR="00F01CE1" w:rsidRPr="00F01CE1" w:rsidRDefault="00F01CE1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900.000,00</w:t>
            </w:r>
          </w:p>
        </w:tc>
        <w:tc>
          <w:tcPr>
            <w:tcW w:w="1134" w:type="dxa"/>
            <w:vAlign w:val="center"/>
          </w:tcPr>
          <w:p w14:paraId="4DE83F36" w14:textId="6325BE52" w:rsidR="00F01CE1" w:rsidRPr="00F01CE1" w:rsidRDefault="00F01CE1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sz w:val="16"/>
                <w:szCs w:val="16"/>
              </w:rPr>
              <w:t>950.000,00</w:t>
            </w:r>
          </w:p>
        </w:tc>
        <w:tc>
          <w:tcPr>
            <w:tcW w:w="1134" w:type="dxa"/>
            <w:vAlign w:val="center"/>
          </w:tcPr>
          <w:p w14:paraId="61CDDC79" w14:textId="59A3D0AD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920.000,00</w:t>
            </w:r>
          </w:p>
        </w:tc>
        <w:tc>
          <w:tcPr>
            <w:tcW w:w="1135" w:type="dxa"/>
            <w:vAlign w:val="center"/>
          </w:tcPr>
          <w:p w14:paraId="318FF057" w14:textId="68914C09" w:rsidR="00F01CE1" w:rsidRPr="00F01CE1" w:rsidRDefault="007F2D7A" w:rsidP="00D929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950.000,00</w:t>
            </w:r>
          </w:p>
        </w:tc>
      </w:tr>
      <w:tr w:rsidR="00F01CE1" w:rsidRPr="0012430C" w14:paraId="5F198D57" w14:textId="77777777" w:rsidTr="00F01CE1">
        <w:tc>
          <w:tcPr>
            <w:tcW w:w="2694" w:type="dxa"/>
            <w:gridSpan w:val="3"/>
            <w:shd w:val="clear" w:color="auto" w:fill="D9D9D9" w:themeFill="background1" w:themeFillShade="D9"/>
          </w:tcPr>
          <w:p w14:paraId="06824F96" w14:textId="3AAC4BA8" w:rsidR="00F01CE1" w:rsidRPr="00F01CE1" w:rsidRDefault="00F01CE1" w:rsidP="0058428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01CE1">
              <w:rPr>
                <w:rFonts w:ascii="Arial Narrow" w:hAnsi="Arial Narrow" w:cs="Arial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8134BF" w14:textId="77777777" w:rsidR="001103DC" w:rsidRPr="001103DC" w:rsidRDefault="001103DC" w:rsidP="001103DC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103DC">
              <w:rPr>
                <w:rFonts w:ascii="Arial Narrow" w:hAnsi="Arial Narrow" w:cs="Arial"/>
                <w:b/>
                <w:bCs/>
                <w:sz w:val="16"/>
                <w:szCs w:val="16"/>
              </w:rPr>
              <w:t>24.516.415,62</w:t>
            </w:r>
          </w:p>
          <w:p w14:paraId="273641FC" w14:textId="77777777" w:rsidR="00F01CE1" w:rsidRPr="00F01CE1" w:rsidRDefault="00F01CE1" w:rsidP="00AD72A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51C0B2E6" w14:textId="77777777" w:rsidR="001103DC" w:rsidRPr="001103DC" w:rsidRDefault="001103DC" w:rsidP="001103DC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103DC">
              <w:rPr>
                <w:rFonts w:ascii="Arial Narrow" w:hAnsi="Arial Narrow" w:cs="Arial"/>
                <w:b/>
                <w:bCs/>
                <w:sz w:val="16"/>
                <w:szCs w:val="16"/>
              </w:rPr>
              <w:t>29.660.300,00</w:t>
            </w:r>
          </w:p>
          <w:p w14:paraId="5033D9C6" w14:textId="38CCC0CC" w:rsidR="00F01CE1" w:rsidRPr="00F01CE1" w:rsidRDefault="00F01CE1" w:rsidP="001103DC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6E71AEE" w14:textId="684D1FA3" w:rsidR="00F01CE1" w:rsidRPr="00F01CE1" w:rsidRDefault="007F2D7A" w:rsidP="0012430C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28.560.000,00</w:t>
            </w:r>
          </w:p>
          <w:p w14:paraId="7036682E" w14:textId="28868119" w:rsidR="00F01CE1" w:rsidRPr="00F01CE1" w:rsidRDefault="00F01CE1" w:rsidP="0012430C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B63D59" w14:textId="331FAF07" w:rsidR="00F01CE1" w:rsidRPr="00F01CE1" w:rsidRDefault="007F2D7A" w:rsidP="0012430C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29.620.000,00</w:t>
            </w:r>
          </w:p>
          <w:p w14:paraId="72479216" w14:textId="14D6770A" w:rsidR="00F01CE1" w:rsidRPr="00F01CE1" w:rsidRDefault="00F01CE1" w:rsidP="00D929B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74863D" w14:textId="16BD8BA3" w:rsidR="00F01CE1" w:rsidRPr="00F01CE1" w:rsidRDefault="007F2D7A" w:rsidP="0012430C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29.180.000,00</w:t>
            </w:r>
          </w:p>
          <w:p w14:paraId="3EBC4D0E" w14:textId="01D0AABA" w:rsidR="00F01CE1" w:rsidRPr="00F01CE1" w:rsidRDefault="00F01CE1" w:rsidP="00D929B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DF16B5F" w14:textId="42F5B606" w:rsidR="00F01CE1" w:rsidRPr="00F01CE1" w:rsidRDefault="007F2D7A" w:rsidP="0012430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30.</w:t>
            </w:r>
            <w:r w:rsidR="00C163F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70.000,00</w:t>
            </w:r>
          </w:p>
          <w:p w14:paraId="58E4DDB0" w14:textId="5D539DC1" w:rsidR="00F01CE1" w:rsidRPr="00F01CE1" w:rsidRDefault="00F01CE1" w:rsidP="00D929B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</w:tbl>
    <w:p w14:paraId="72502BBA" w14:textId="77777777" w:rsidR="00584282" w:rsidRDefault="00584282" w:rsidP="00584282">
      <w:pPr>
        <w:jc w:val="center"/>
        <w:rPr>
          <w:rFonts w:ascii="Arial" w:hAnsi="Arial" w:cs="Arial"/>
          <w:b/>
        </w:rPr>
      </w:pPr>
    </w:p>
    <w:p w14:paraId="08AA78B5" w14:textId="77777777" w:rsidR="00D929B2" w:rsidRDefault="00D929B2" w:rsidP="00293011">
      <w:pPr>
        <w:rPr>
          <w:rFonts w:ascii="Arial" w:hAnsi="Arial" w:cs="Arial"/>
          <w:b/>
        </w:rPr>
      </w:pPr>
    </w:p>
    <w:p w14:paraId="05FBF3DE" w14:textId="77777777" w:rsidR="006657BC" w:rsidRDefault="006657BC" w:rsidP="00293011">
      <w:pPr>
        <w:rPr>
          <w:rFonts w:ascii="Arial" w:hAnsi="Arial" w:cs="Arial"/>
          <w:b/>
        </w:rPr>
      </w:pPr>
    </w:p>
    <w:p w14:paraId="2DC73DA1" w14:textId="77777777" w:rsidR="00D929B2" w:rsidRDefault="00D929B2" w:rsidP="00584282">
      <w:pPr>
        <w:jc w:val="center"/>
        <w:rPr>
          <w:rFonts w:ascii="Arial" w:hAnsi="Arial" w:cs="Arial"/>
          <w:b/>
        </w:rPr>
      </w:pPr>
    </w:p>
    <w:p w14:paraId="4F9402E2" w14:textId="77777777" w:rsidR="00422DFD" w:rsidRDefault="006D0705" w:rsidP="005842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 </w:t>
      </w:r>
      <w:r w:rsidR="00810814">
        <w:rPr>
          <w:rFonts w:ascii="Arial" w:hAnsi="Arial" w:cs="Arial"/>
          <w:b/>
        </w:rPr>
        <w:t>METODOLOGIJA IZRADE PRIJEDLOGA FINANCIJSKOG PLANA PRORAČUNSKOG KORISNIKA JEDINICE LOKALNE I PODRUČNE (REGIONALNE) SAMOUPRAVE</w:t>
      </w:r>
    </w:p>
    <w:p w14:paraId="7C3F772F" w14:textId="77777777" w:rsidR="00810814" w:rsidRDefault="00810814" w:rsidP="009A1040">
      <w:pPr>
        <w:jc w:val="both"/>
        <w:rPr>
          <w:rFonts w:ascii="Arial" w:hAnsi="Arial" w:cs="Arial"/>
          <w:b/>
        </w:rPr>
      </w:pPr>
    </w:p>
    <w:p w14:paraId="29CC332C" w14:textId="54D9A787" w:rsidR="00810814" w:rsidRPr="00B051E3" w:rsidRDefault="00B051E3" w:rsidP="00B051E3">
      <w:pPr>
        <w:ind w:firstLine="567"/>
        <w:jc w:val="both"/>
        <w:rPr>
          <w:rFonts w:ascii="Arial" w:hAnsi="Arial" w:cs="Arial"/>
        </w:rPr>
      </w:pPr>
      <w:proofErr w:type="spellStart"/>
      <w:r w:rsidRPr="00B051E3">
        <w:rPr>
          <w:rFonts w:ascii="Arial" w:hAnsi="Arial" w:cs="Arial"/>
        </w:rPr>
        <w:t>Proračunski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i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izvanproračunski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korisnici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jedinica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lokalne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i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područne</w:t>
      </w:r>
      <w:proofErr w:type="spellEnd"/>
      <w:r w:rsidRPr="00B051E3">
        <w:rPr>
          <w:rFonts w:ascii="Arial" w:hAnsi="Arial" w:cs="Arial"/>
        </w:rPr>
        <w:t xml:space="preserve"> (</w:t>
      </w:r>
      <w:proofErr w:type="spellStart"/>
      <w:r w:rsidRPr="00B051E3">
        <w:rPr>
          <w:rFonts w:ascii="Arial" w:hAnsi="Arial" w:cs="Arial"/>
        </w:rPr>
        <w:t>regionalne</w:t>
      </w:r>
      <w:proofErr w:type="spellEnd"/>
      <w:r w:rsidRPr="00B051E3">
        <w:rPr>
          <w:rFonts w:ascii="Arial" w:hAnsi="Arial" w:cs="Arial"/>
        </w:rPr>
        <w:t xml:space="preserve">) </w:t>
      </w:r>
      <w:proofErr w:type="spellStart"/>
      <w:r w:rsidRPr="00B051E3">
        <w:rPr>
          <w:rFonts w:ascii="Arial" w:hAnsi="Arial" w:cs="Arial"/>
        </w:rPr>
        <w:t>samouprave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obvezni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su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izrađivati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financijske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planove</w:t>
      </w:r>
      <w:proofErr w:type="spellEnd"/>
      <w:r w:rsidRPr="00B051E3">
        <w:rPr>
          <w:rFonts w:ascii="Arial" w:hAnsi="Arial" w:cs="Arial"/>
        </w:rPr>
        <w:t xml:space="preserve"> u </w:t>
      </w:r>
      <w:proofErr w:type="spellStart"/>
      <w:r w:rsidRPr="00B051E3">
        <w:rPr>
          <w:rFonts w:ascii="Arial" w:hAnsi="Arial" w:cs="Arial"/>
        </w:rPr>
        <w:t>skladu</w:t>
      </w:r>
      <w:proofErr w:type="spellEnd"/>
      <w:r w:rsidRPr="00B051E3">
        <w:rPr>
          <w:rFonts w:ascii="Arial" w:hAnsi="Arial" w:cs="Arial"/>
        </w:rPr>
        <w:t xml:space="preserve"> s </w:t>
      </w:r>
      <w:proofErr w:type="spellStart"/>
      <w:r w:rsidRPr="00B051E3">
        <w:rPr>
          <w:rFonts w:ascii="Arial" w:hAnsi="Arial" w:cs="Arial"/>
        </w:rPr>
        <w:t>odredbama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Zakona</w:t>
      </w:r>
      <w:proofErr w:type="spellEnd"/>
      <w:r w:rsidRPr="00B051E3">
        <w:rPr>
          <w:rFonts w:ascii="Arial" w:hAnsi="Arial" w:cs="Arial"/>
        </w:rPr>
        <w:t xml:space="preserve"> o </w:t>
      </w:r>
      <w:proofErr w:type="spellStart"/>
      <w:r w:rsidRPr="00B051E3">
        <w:rPr>
          <w:rFonts w:ascii="Arial" w:hAnsi="Arial" w:cs="Arial"/>
        </w:rPr>
        <w:t>proračunu</w:t>
      </w:r>
      <w:proofErr w:type="spellEnd"/>
      <w:r w:rsidRPr="00B051E3">
        <w:rPr>
          <w:rFonts w:ascii="Arial" w:hAnsi="Arial" w:cs="Arial"/>
        </w:rPr>
        <w:t xml:space="preserve">, </w:t>
      </w:r>
      <w:proofErr w:type="spellStart"/>
      <w:r w:rsidRPr="00B051E3">
        <w:rPr>
          <w:rFonts w:ascii="Arial" w:hAnsi="Arial" w:cs="Arial"/>
        </w:rPr>
        <w:t>Pravilnika</w:t>
      </w:r>
      <w:proofErr w:type="spellEnd"/>
      <w:r w:rsidRPr="00B051E3">
        <w:rPr>
          <w:rFonts w:ascii="Arial" w:hAnsi="Arial" w:cs="Arial"/>
        </w:rPr>
        <w:t xml:space="preserve"> o </w:t>
      </w:r>
      <w:proofErr w:type="spellStart"/>
      <w:r w:rsidRPr="00B051E3">
        <w:rPr>
          <w:rFonts w:ascii="Arial" w:hAnsi="Arial" w:cs="Arial"/>
        </w:rPr>
        <w:t>proračunskim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klasifikacijama</w:t>
      </w:r>
      <w:proofErr w:type="spellEnd"/>
      <w:r w:rsidRPr="00B051E3">
        <w:rPr>
          <w:rFonts w:ascii="Arial" w:hAnsi="Arial" w:cs="Arial"/>
        </w:rPr>
        <w:t xml:space="preserve"> (</w:t>
      </w:r>
      <w:proofErr w:type="spellStart"/>
      <w:r w:rsidRPr="00B051E3">
        <w:rPr>
          <w:rFonts w:ascii="Arial" w:hAnsi="Arial" w:cs="Arial"/>
        </w:rPr>
        <w:t>Narodne</w:t>
      </w:r>
      <w:proofErr w:type="spellEnd"/>
      <w:r w:rsidRPr="00B051E3">
        <w:rPr>
          <w:rFonts w:ascii="Arial" w:hAnsi="Arial" w:cs="Arial"/>
        </w:rPr>
        <w:t xml:space="preserve"> novine, br. 26/10</w:t>
      </w:r>
      <w:r w:rsidR="00AB2E9F">
        <w:rPr>
          <w:rFonts w:ascii="Arial" w:hAnsi="Arial" w:cs="Arial"/>
        </w:rPr>
        <w:t>,</w:t>
      </w:r>
      <w:r w:rsidRPr="00B051E3">
        <w:rPr>
          <w:rFonts w:ascii="Arial" w:hAnsi="Arial" w:cs="Arial"/>
        </w:rPr>
        <w:t>120/13</w:t>
      </w:r>
      <w:r w:rsidR="00AB2E9F">
        <w:rPr>
          <w:rFonts w:ascii="Arial" w:hAnsi="Arial" w:cs="Arial"/>
        </w:rPr>
        <w:t xml:space="preserve"> </w:t>
      </w:r>
      <w:proofErr w:type="spellStart"/>
      <w:r w:rsidR="00AB2E9F">
        <w:rPr>
          <w:rFonts w:ascii="Arial" w:hAnsi="Arial" w:cs="Arial"/>
        </w:rPr>
        <w:t>i</w:t>
      </w:r>
      <w:proofErr w:type="spellEnd"/>
      <w:r w:rsidR="00AB2E9F">
        <w:rPr>
          <w:rFonts w:ascii="Arial" w:hAnsi="Arial" w:cs="Arial"/>
        </w:rPr>
        <w:t xml:space="preserve"> 1/20</w:t>
      </w:r>
      <w:r w:rsidRPr="00B051E3">
        <w:rPr>
          <w:rFonts w:ascii="Arial" w:hAnsi="Arial" w:cs="Arial"/>
        </w:rPr>
        <w:t xml:space="preserve">) </w:t>
      </w:r>
      <w:proofErr w:type="spellStart"/>
      <w:r w:rsidRPr="00B051E3">
        <w:rPr>
          <w:rFonts w:ascii="Arial" w:hAnsi="Arial" w:cs="Arial"/>
        </w:rPr>
        <w:t>i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Pravilnika</w:t>
      </w:r>
      <w:proofErr w:type="spellEnd"/>
      <w:r w:rsidRPr="00B051E3">
        <w:rPr>
          <w:rFonts w:ascii="Arial" w:hAnsi="Arial" w:cs="Arial"/>
        </w:rPr>
        <w:t xml:space="preserve"> o </w:t>
      </w:r>
      <w:proofErr w:type="spellStart"/>
      <w:r w:rsidRPr="00B051E3">
        <w:rPr>
          <w:rFonts w:ascii="Arial" w:hAnsi="Arial" w:cs="Arial"/>
        </w:rPr>
        <w:t>proračunskom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računovodstvu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i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Računskom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planu</w:t>
      </w:r>
      <w:proofErr w:type="spellEnd"/>
      <w:r w:rsidRPr="00B051E3">
        <w:rPr>
          <w:rFonts w:ascii="Arial" w:hAnsi="Arial" w:cs="Arial"/>
        </w:rPr>
        <w:t xml:space="preserve"> (</w:t>
      </w:r>
      <w:proofErr w:type="spellStart"/>
      <w:r w:rsidRPr="00B051E3">
        <w:rPr>
          <w:rFonts w:ascii="Arial" w:hAnsi="Arial" w:cs="Arial"/>
        </w:rPr>
        <w:t>Narodne</w:t>
      </w:r>
      <w:proofErr w:type="spellEnd"/>
      <w:r w:rsidRPr="00B051E3">
        <w:rPr>
          <w:rFonts w:ascii="Arial" w:hAnsi="Arial" w:cs="Arial"/>
        </w:rPr>
        <w:t xml:space="preserve"> novine, br. 124/14, 115/15, 87/16</w:t>
      </w:r>
      <w:r w:rsidR="00AB2E9F">
        <w:rPr>
          <w:rFonts w:ascii="Arial" w:hAnsi="Arial" w:cs="Arial"/>
        </w:rPr>
        <w:t xml:space="preserve">, </w:t>
      </w:r>
      <w:r w:rsidRPr="00B051E3">
        <w:rPr>
          <w:rFonts w:ascii="Arial" w:hAnsi="Arial" w:cs="Arial"/>
        </w:rPr>
        <w:t>3/18</w:t>
      </w:r>
      <w:r w:rsidR="00A62769">
        <w:rPr>
          <w:rFonts w:ascii="Arial" w:hAnsi="Arial" w:cs="Arial"/>
        </w:rPr>
        <w:t xml:space="preserve">, 126/19 </w:t>
      </w:r>
      <w:proofErr w:type="spellStart"/>
      <w:r w:rsidR="00A62769">
        <w:rPr>
          <w:rFonts w:ascii="Arial" w:hAnsi="Arial" w:cs="Arial"/>
        </w:rPr>
        <w:t>i</w:t>
      </w:r>
      <w:proofErr w:type="spellEnd"/>
      <w:r w:rsidR="00A62769">
        <w:rPr>
          <w:rFonts w:ascii="Arial" w:hAnsi="Arial" w:cs="Arial"/>
        </w:rPr>
        <w:t xml:space="preserve"> 108/20</w:t>
      </w:r>
      <w:proofErr w:type="gramStart"/>
      <w:r w:rsidRPr="00B051E3">
        <w:rPr>
          <w:rFonts w:ascii="Arial" w:hAnsi="Arial" w:cs="Arial"/>
        </w:rPr>
        <w:t>)</w:t>
      </w:r>
      <w:r w:rsidR="00AB2E9F">
        <w:rPr>
          <w:rFonts w:ascii="Arial" w:hAnsi="Arial" w:cs="Arial"/>
        </w:rPr>
        <w:t xml:space="preserve"> </w:t>
      </w:r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te</w:t>
      </w:r>
      <w:proofErr w:type="spellEnd"/>
      <w:proofErr w:type="gramEnd"/>
      <w:r w:rsidRPr="00B051E3">
        <w:rPr>
          <w:rFonts w:ascii="Arial" w:hAnsi="Arial" w:cs="Arial"/>
        </w:rPr>
        <w:t xml:space="preserve"> se </w:t>
      </w:r>
      <w:proofErr w:type="spellStart"/>
      <w:r w:rsidRPr="00B051E3">
        <w:rPr>
          <w:rFonts w:ascii="Arial" w:hAnsi="Arial" w:cs="Arial"/>
        </w:rPr>
        <w:t>pridržavati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ovih</w:t>
      </w:r>
      <w:proofErr w:type="spellEnd"/>
      <w:r w:rsidRPr="00B051E3">
        <w:rPr>
          <w:rFonts w:ascii="Arial" w:hAnsi="Arial" w:cs="Arial"/>
        </w:rPr>
        <w:t xml:space="preserve"> </w:t>
      </w:r>
      <w:proofErr w:type="spellStart"/>
      <w:r w:rsidRPr="00B051E3">
        <w:rPr>
          <w:rFonts w:ascii="Arial" w:hAnsi="Arial" w:cs="Arial"/>
        </w:rPr>
        <w:t>Uputa</w:t>
      </w:r>
      <w:proofErr w:type="spellEnd"/>
      <w:r w:rsidRPr="00B051E3">
        <w:rPr>
          <w:rFonts w:ascii="Arial" w:hAnsi="Arial" w:cs="Arial"/>
        </w:rPr>
        <w:t xml:space="preserve">. </w:t>
      </w:r>
    </w:p>
    <w:p w14:paraId="19D3E472" w14:textId="77777777" w:rsidR="00810814" w:rsidRPr="00810814" w:rsidRDefault="00296BC9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Prorač</w:t>
      </w:r>
      <w:r w:rsidR="00810814" w:rsidRPr="00810814">
        <w:rPr>
          <w:rFonts w:ascii="Arial" w:hAnsi="Arial" w:cs="Arial"/>
          <w:sz w:val="22"/>
          <w:szCs w:val="22"/>
        </w:rPr>
        <w:t>unski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kor</w:t>
      </w:r>
      <w:r>
        <w:rPr>
          <w:rFonts w:ascii="Arial" w:hAnsi="Arial" w:cs="Arial"/>
          <w:sz w:val="22"/>
          <w:szCs w:val="22"/>
        </w:rPr>
        <w:t>isnici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</w:t>
      </w:r>
      <w:r w:rsidR="00810814" w:rsidRPr="00810814">
        <w:rPr>
          <w:rFonts w:ascii="Arial" w:hAnsi="Arial" w:cs="Arial"/>
          <w:sz w:val="22"/>
          <w:szCs w:val="22"/>
        </w:rPr>
        <w:t>ne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regionalne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samouprave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svoje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financijske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planove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dostavljaju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</w:t>
      </w:r>
      <w:r w:rsidR="00810814" w:rsidRPr="00810814">
        <w:rPr>
          <w:rFonts w:ascii="Arial" w:hAnsi="Arial" w:cs="Arial"/>
          <w:sz w:val="22"/>
          <w:szCs w:val="22"/>
        </w:rPr>
        <w:t>iji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su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korisnici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odnosno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nadležnom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upravnom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tijelu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. </w:t>
      </w:r>
    </w:p>
    <w:p w14:paraId="70EFAB80" w14:textId="625009E7" w:rsidR="00810814" w:rsidRPr="00810814" w:rsidRDefault="00296BC9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Prorač</w:t>
      </w:r>
      <w:r w:rsidR="00810814" w:rsidRPr="00810814">
        <w:rPr>
          <w:rFonts w:ascii="Arial" w:hAnsi="Arial" w:cs="Arial"/>
          <w:sz w:val="22"/>
          <w:szCs w:val="22"/>
        </w:rPr>
        <w:t>unski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korisnik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financijskom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planu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treba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iskazati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sve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svoje</w:t>
      </w:r>
      <w:proofErr w:type="spellEnd"/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prihode</w:t>
      </w:r>
      <w:proofErr w:type="spellEnd"/>
      <w:r w:rsidR="00A627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769">
        <w:rPr>
          <w:rFonts w:ascii="Arial" w:hAnsi="Arial" w:cs="Arial"/>
          <w:sz w:val="22"/>
          <w:szCs w:val="22"/>
        </w:rPr>
        <w:t>i</w:t>
      </w:r>
      <w:proofErr w:type="spellEnd"/>
      <w:r w:rsidR="00A627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769">
        <w:rPr>
          <w:rFonts w:ascii="Arial" w:hAnsi="Arial" w:cs="Arial"/>
          <w:sz w:val="22"/>
          <w:szCs w:val="22"/>
        </w:rPr>
        <w:t>primitke</w:t>
      </w:r>
      <w:proofErr w:type="spellEnd"/>
      <w:r w:rsidR="00A62769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62769">
        <w:rPr>
          <w:rFonts w:ascii="Arial" w:hAnsi="Arial" w:cs="Arial"/>
          <w:sz w:val="22"/>
          <w:szCs w:val="22"/>
        </w:rPr>
        <w:t>te</w:t>
      </w:r>
      <w:proofErr w:type="spellEnd"/>
      <w:r w:rsidR="00A62769">
        <w:rPr>
          <w:rFonts w:ascii="Arial" w:hAnsi="Arial" w:cs="Arial"/>
          <w:sz w:val="22"/>
          <w:szCs w:val="22"/>
        </w:rPr>
        <w:t xml:space="preserve"> </w:t>
      </w:r>
      <w:r w:rsidR="00810814"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814" w:rsidRPr="00810814">
        <w:rPr>
          <w:rFonts w:ascii="Arial" w:hAnsi="Arial" w:cs="Arial"/>
          <w:sz w:val="22"/>
          <w:szCs w:val="22"/>
        </w:rPr>
        <w:t>rashode</w:t>
      </w:r>
      <w:proofErr w:type="spellEnd"/>
      <w:proofErr w:type="gramEnd"/>
      <w:r w:rsidR="00A627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769">
        <w:rPr>
          <w:rFonts w:ascii="Arial" w:hAnsi="Arial" w:cs="Arial"/>
          <w:sz w:val="22"/>
          <w:szCs w:val="22"/>
        </w:rPr>
        <w:t>i</w:t>
      </w:r>
      <w:proofErr w:type="spellEnd"/>
      <w:r w:rsidR="00A627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769">
        <w:rPr>
          <w:rFonts w:ascii="Arial" w:hAnsi="Arial" w:cs="Arial"/>
          <w:sz w:val="22"/>
          <w:szCs w:val="22"/>
        </w:rPr>
        <w:t>izdatke</w:t>
      </w:r>
      <w:proofErr w:type="spellEnd"/>
      <w:r w:rsidR="00A62769">
        <w:rPr>
          <w:rFonts w:ascii="Arial" w:hAnsi="Arial" w:cs="Arial"/>
          <w:sz w:val="22"/>
          <w:szCs w:val="22"/>
        </w:rPr>
        <w:t>.</w:t>
      </w:r>
      <w:r w:rsidR="00810814" w:rsidRPr="00810814">
        <w:rPr>
          <w:rFonts w:ascii="Arial" w:hAnsi="Arial" w:cs="Arial"/>
          <w:sz w:val="22"/>
          <w:szCs w:val="22"/>
        </w:rPr>
        <w:t xml:space="preserve"> </w:t>
      </w:r>
    </w:p>
    <w:p w14:paraId="35932F48" w14:textId="5CB37350" w:rsidR="00810814" w:rsidRPr="00810814" w:rsidRDefault="00810814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810814">
        <w:rPr>
          <w:rFonts w:ascii="Arial" w:hAnsi="Arial" w:cs="Arial"/>
          <w:sz w:val="22"/>
          <w:szCs w:val="22"/>
        </w:rPr>
        <w:t>Pri</w:t>
      </w:r>
      <w:r w:rsidR="00296BC9">
        <w:rPr>
          <w:rFonts w:ascii="Arial" w:hAnsi="Arial" w:cs="Arial"/>
          <w:sz w:val="22"/>
          <w:szCs w:val="22"/>
        </w:rPr>
        <w:t>jedlog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financijskog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="00296BC9">
        <w:rPr>
          <w:rFonts w:ascii="Arial" w:hAnsi="Arial" w:cs="Arial"/>
          <w:sz w:val="22"/>
          <w:szCs w:val="22"/>
        </w:rPr>
        <w:t>prorač</w:t>
      </w:r>
      <w:r w:rsidRPr="00810814">
        <w:rPr>
          <w:rFonts w:ascii="Arial" w:hAnsi="Arial" w:cs="Arial"/>
          <w:sz w:val="22"/>
          <w:szCs w:val="22"/>
        </w:rPr>
        <w:t>unskog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korisnika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jedinice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lokalne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i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područ</w:t>
      </w:r>
      <w:r>
        <w:rPr>
          <w:rFonts w:ascii="Arial" w:hAnsi="Arial" w:cs="Arial"/>
          <w:sz w:val="22"/>
          <w:szCs w:val="22"/>
        </w:rPr>
        <w:t>ne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regionalne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810814">
        <w:rPr>
          <w:rFonts w:ascii="Arial" w:hAnsi="Arial" w:cs="Arial"/>
          <w:sz w:val="22"/>
          <w:szCs w:val="22"/>
        </w:rPr>
        <w:t>samouprave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10814">
        <w:rPr>
          <w:rFonts w:ascii="Arial" w:hAnsi="Arial" w:cs="Arial"/>
          <w:sz w:val="22"/>
          <w:szCs w:val="22"/>
        </w:rPr>
        <w:t>razdo</w:t>
      </w:r>
      <w:r w:rsidR="005565A0">
        <w:rPr>
          <w:rFonts w:ascii="Arial" w:hAnsi="Arial" w:cs="Arial"/>
          <w:sz w:val="22"/>
          <w:szCs w:val="22"/>
        </w:rPr>
        <w:t>blje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20</w:t>
      </w:r>
      <w:r w:rsidR="00B051E3">
        <w:rPr>
          <w:rFonts w:ascii="Arial" w:hAnsi="Arial" w:cs="Arial"/>
          <w:sz w:val="22"/>
          <w:szCs w:val="22"/>
        </w:rPr>
        <w:t>2</w:t>
      </w:r>
      <w:r w:rsidR="00A62769">
        <w:rPr>
          <w:rFonts w:ascii="Arial" w:hAnsi="Arial" w:cs="Arial"/>
          <w:sz w:val="22"/>
          <w:szCs w:val="22"/>
        </w:rPr>
        <w:t>2</w:t>
      </w:r>
      <w:r w:rsidR="005565A0">
        <w:rPr>
          <w:rFonts w:ascii="Arial" w:hAnsi="Arial" w:cs="Arial"/>
          <w:sz w:val="22"/>
          <w:szCs w:val="22"/>
        </w:rPr>
        <w:t>. - 20</w:t>
      </w:r>
      <w:r w:rsidR="00B051E3">
        <w:rPr>
          <w:rFonts w:ascii="Arial" w:hAnsi="Arial" w:cs="Arial"/>
          <w:sz w:val="22"/>
          <w:szCs w:val="22"/>
        </w:rPr>
        <w:t>2</w:t>
      </w:r>
      <w:r w:rsidR="00A62769">
        <w:rPr>
          <w:rFonts w:ascii="Arial" w:hAnsi="Arial" w:cs="Arial"/>
          <w:sz w:val="22"/>
          <w:szCs w:val="22"/>
        </w:rPr>
        <w:t>4</w:t>
      </w:r>
      <w:r w:rsidR="00296BC9">
        <w:rPr>
          <w:rFonts w:ascii="Arial" w:hAnsi="Arial" w:cs="Arial"/>
          <w:sz w:val="22"/>
          <w:szCs w:val="22"/>
        </w:rPr>
        <w:t xml:space="preserve">. u </w:t>
      </w:r>
      <w:proofErr w:type="spellStart"/>
      <w:r w:rsidR="00296BC9">
        <w:rPr>
          <w:rFonts w:ascii="Arial" w:hAnsi="Arial" w:cs="Arial"/>
          <w:sz w:val="22"/>
          <w:szCs w:val="22"/>
        </w:rPr>
        <w:t>skladu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sa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člankom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29. </w:t>
      </w:r>
      <w:proofErr w:type="spellStart"/>
      <w:r w:rsidR="00296BC9">
        <w:rPr>
          <w:rFonts w:ascii="Arial" w:hAnsi="Arial" w:cs="Arial"/>
          <w:sz w:val="22"/>
          <w:szCs w:val="22"/>
        </w:rPr>
        <w:t>Zakona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296BC9">
        <w:rPr>
          <w:rFonts w:ascii="Arial" w:hAnsi="Arial" w:cs="Arial"/>
          <w:sz w:val="22"/>
          <w:szCs w:val="22"/>
        </w:rPr>
        <w:t>prorač</w:t>
      </w:r>
      <w:r w:rsidRPr="00810814">
        <w:rPr>
          <w:rFonts w:ascii="Arial" w:hAnsi="Arial" w:cs="Arial"/>
          <w:sz w:val="22"/>
          <w:szCs w:val="22"/>
        </w:rPr>
        <w:t>unu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sadrži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: </w:t>
      </w:r>
    </w:p>
    <w:p w14:paraId="6A89B8A4" w14:textId="43F13C3F" w:rsidR="00810814" w:rsidRPr="00810814" w:rsidRDefault="00810814" w:rsidP="00655D62">
      <w:pPr>
        <w:pStyle w:val="Obinitek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proofErr w:type="spellStart"/>
      <w:r w:rsidRPr="00810814">
        <w:rPr>
          <w:rFonts w:ascii="Arial" w:hAnsi="Arial" w:cs="Arial"/>
          <w:sz w:val="22"/>
          <w:szCs w:val="22"/>
        </w:rPr>
        <w:t>procjene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prihoda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i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primitaka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iskaz</w:t>
      </w:r>
      <w:r w:rsidR="005565A0">
        <w:rPr>
          <w:rFonts w:ascii="Arial" w:hAnsi="Arial" w:cs="Arial"/>
          <w:sz w:val="22"/>
          <w:szCs w:val="22"/>
        </w:rPr>
        <w:t>ane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5565A0">
        <w:rPr>
          <w:rFonts w:ascii="Arial" w:hAnsi="Arial" w:cs="Arial"/>
          <w:sz w:val="22"/>
          <w:szCs w:val="22"/>
        </w:rPr>
        <w:t>vrstama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565A0">
        <w:rPr>
          <w:rFonts w:ascii="Arial" w:hAnsi="Arial" w:cs="Arial"/>
          <w:sz w:val="22"/>
          <w:szCs w:val="22"/>
        </w:rPr>
        <w:t>razdoblje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20</w:t>
      </w:r>
      <w:r w:rsidR="00AB2E9F">
        <w:rPr>
          <w:rFonts w:ascii="Arial" w:hAnsi="Arial" w:cs="Arial"/>
          <w:sz w:val="22"/>
          <w:szCs w:val="22"/>
        </w:rPr>
        <w:t>2</w:t>
      </w:r>
      <w:r w:rsidR="00A62769">
        <w:rPr>
          <w:rFonts w:ascii="Arial" w:hAnsi="Arial" w:cs="Arial"/>
          <w:sz w:val="22"/>
          <w:szCs w:val="22"/>
        </w:rPr>
        <w:t>2</w:t>
      </w:r>
      <w:r w:rsidR="005565A0">
        <w:rPr>
          <w:rFonts w:ascii="Arial" w:hAnsi="Arial" w:cs="Arial"/>
          <w:sz w:val="22"/>
          <w:szCs w:val="22"/>
        </w:rPr>
        <w:t>. - 20</w:t>
      </w:r>
      <w:r w:rsidR="00AB2E9F">
        <w:rPr>
          <w:rFonts w:ascii="Arial" w:hAnsi="Arial" w:cs="Arial"/>
          <w:sz w:val="22"/>
          <w:szCs w:val="22"/>
        </w:rPr>
        <w:t>2</w:t>
      </w:r>
      <w:r w:rsidR="00A62769">
        <w:rPr>
          <w:rFonts w:ascii="Arial" w:hAnsi="Arial" w:cs="Arial"/>
          <w:sz w:val="22"/>
          <w:szCs w:val="22"/>
        </w:rPr>
        <w:t>4</w:t>
      </w:r>
      <w:r w:rsidRPr="00810814">
        <w:rPr>
          <w:rFonts w:ascii="Arial" w:hAnsi="Arial" w:cs="Arial"/>
          <w:sz w:val="22"/>
          <w:szCs w:val="22"/>
        </w:rPr>
        <w:t xml:space="preserve">., </w:t>
      </w:r>
    </w:p>
    <w:p w14:paraId="407D6377" w14:textId="17C95CE8" w:rsidR="00810814" w:rsidRPr="00655D62" w:rsidRDefault="00810814" w:rsidP="00655D62">
      <w:pPr>
        <w:pStyle w:val="Obinitek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810814">
        <w:rPr>
          <w:rFonts w:ascii="Arial" w:hAnsi="Arial" w:cs="Arial"/>
          <w:sz w:val="22"/>
          <w:szCs w:val="22"/>
        </w:rPr>
        <w:t xml:space="preserve">plan </w:t>
      </w:r>
      <w:proofErr w:type="spellStart"/>
      <w:r w:rsidRPr="00810814">
        <w:rPr>
          <w:rFonts w:ascii="Arial" w:hAnsi="Arial" w:cs="Arial"/>
          <w:sz w:val="22"/>
          <w:szCs w:val="22"/>
        </w:rPr>
        <w:t>rash</w:t>
      </w:r>
      <w:r w:rsidR="005565A0">
        <w:rPr>
          <w:rFonts w:ascii="Arial" w:hAnsi="Arial" w:cs="Arial"/>
          <w:sz w:val="22"/>
          <w:szCs w:val="22"/>
        </w:rPr>
        <w:t>oda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i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izdataka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565A0">
        <w:rPr>
          <w:rFonts w:ascii="Arial" w:hAnsi="Arial" w:cs="Arial"/>
          <w:sz w:val="22"/>
          <w:szCs w:val="22"/>
        </w:rPr>
        <w:t>razdoblje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20</w:t>
      </w:r>
      <w:r w:rsidR="00AB2E9F">
        <w:rPr>
          <w:rFonts w:ascii="Arial" w:hAnsi="Arial" w:cs="Arial"/>
          <w:sz w:val="22"/>
          <w:szCs w:val="22"/>
        </w:rPr>
        <w:t>2</w:t>
      </w:r>
      <w:r w:rsidR="00A62769">
        <w:rPr>
          <w:rFonts w:ascii="Arial" w:hAnsi="Arial" w:cs="Arial"/>
          <w:sz w:val="22"/>
          <w:szCs w:val="22"/>
        </w:rPr>
        <w:t>2</w:t>
      </w:r>
      <w:r w:rsidRPr="00810814">
        <w:rPr>
          <w:rFonts w:ascii="Arial" w:hAnsi="Arial" w:cs="Arial"/>
          <w:sz w:val="22"/>
          <w:szCs w:val="22"/>
        </w:rPr>
        <w:t xml:space="preserve">. </w:t>
      </w:r>
      <w:r w:rsidR="005565A0">
        <w:rPr>
          <w:rFonts w:ascii="Arial" w:hAnsi="Arial" w:cs="Arial"/>
          <w:sz w:val="22"/>
          <w:szCs w:val="22"/>
        </w:rPr>
        <w:t>- 20</w:t>
      </w:r>
      <w:r w:rsidR="00AB2E9F">
        <w:rPr>
          <w:rFonts w:ascii="Arial" w:hAnsi="Arial" w:cs="Arial"/>
          <w:sz w:val="22"/>
          <w:szCs w:val="22"/>
        </w:rPr>
        <w:t>2</w:t>
      </w:r>
      <w:r w:rsidR="00A62769">
        <w:rPr>
          <w:rFonts w:ascii="Arial" w:hAnsi="Arial" w:cs="Arial"/>
          <w:sz w:val="22"/>
          <w:szCs w:val="22"/>
        </w:rPr>
        <w:t>4</w:t>
      </w:r>
      <w:r w:rsidR="00296BC9">
        <w:rPr>
          <w:rFonts w:ascii="Arial" w:hAnsi="Arial" w:cs="Arial"/>
          <w:sz w:val="22"/>
          <w:szCs w:val="22"/>
        </w:rPr>
        <w:t xml:space="preserve">., </w:t>
      </w:r>
      <w:proofErr w:type="spellStart"/>
      <w:r w:rsidR="00296BC9">
        <w:rPr>
          <w:rFonts w:ascii="Arial" w:hAnsi="Arial" w:cs="Arial"/>
          <w:sz w:val="22"/>
          <w:szCs w:val="22"/>
        </w:rPr>
        <w:t>razvrstane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prema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prorač</w:t>
      </w:r>
      <w:r w:rsidRPr="00810814">
        <w:rPr>
          <w:rFonts w:ascii="Arial" w:hAnsi="Arial" w:cs="Arial"/>
          <w:sz w:val="22"/>
          <w:szCs w:val="22"/>
        </w:rPr>
        <w:t>unskim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5D62">
        <w:rPr>
          <w:rFonts w:ascii="Arial" w:hAnsi="Arial" w:cs="Arial"/>
          <w:sz w:val="22"/>
          <w:szCs w:val="22"/>
        </w:rPr>
        <w:t>klasifikacijama</w:t>
      </w:r>
      <w:proofErr w:type="spellEnd"/>
      <w:r w:rsidRPr="00655D62">
        <w:rPr>
          <w:rFonts w:ascii="Arial" w:hAnsi="Arial" w:cs="Arial"/>
          <w:sz w:val="22"/>
          <w:szCs w:val="22"/>
        </w:rPr>
        <w:t xml:space="preserve">, </w:t>
      </w:r>
    </w:p>
    <w:p w14:paraId="255D97AF" w14:textId="77777777" w:rsidR="001C0DF7" w:rsidRDefault="00810814" w:rsidP="00655D62">
      <w:pPr>
        <w:pStyle w:val="Obinitek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proofErr w:type="spellStart"/>
      <w:r w:rsidRPr="00810814">
        <w:rPr>
          <w:rFonts w:ascii="Arial" w:hAnsi="Arial" w:cs="Arial"/>
          <w:sz w:val="22"/>
          <w:szCs w:val="22"/>
        </w:rPr>
        <w:t>obrazloženj</w:t>
      </w:r>
      <w:r w:rsidR="001C0DF7">
        <w:rPr>
          <w:rFonts w:ascii="Arial" w:hAnsi="Arial" w:cs="Arial"/>
          <w:sz w:val="22"/>
          <w:szCs w:val="22"/>
        </w:rPr>
        <w:t>e</w:t>
      </w:r>
      <w:proofErr w:type="spellEnd"/>
      <w:r w:rsidR="001C0D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0DF7">
        <w:rPr>
          <w:rFonts w:ascii="Arial" w:hAnsi="Arial" w:cs="Arial"/>
          <w:sz w:val="22"/>
          <w:szCs w:val="22"/>
        </w:rPr>
        <w:t>prijedloga</w:t>
      </w:r>
      <w:proofErr w:type="spellEnd"/>
      <w:r w:rsidR="001C0D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0DF7">
        <w:rPr>
          <w:rFonts w:ascii="Arial" w:hAnsi="Arial" w:cs="Arial"/>
          <w:sz w:val="22"/>
          <w:szCs w:val="22"/>
        </w:rPr>
        <w:t>financijskog</w:t>
      </w:r>
      <w:proofErr w:type="spellEnd"/>
      <w:r w:rsidR="001C0DF7">
        <w:rPr>
          <w:rFonts w:ascii="Arial" w:hAnsi="Arial" w:cs="Arial"/>
          <w:sz w:val="22"/>
          <w:szCs w:val="22"/>
        </w:rPr>
        <w:t xml:space="preserve"> plana,</w:t>
      </w:r>
    </w:p>
    <w:p w14:paraId="1290EB0B" w14:textId="77777777" w:rsidR="00810814" w:rsidRPr="00810814" w:rsidRDefault="00293011" w:rsidP="00655D62">
      <w:pPr>
        <w:pStyle w:val="Obinitek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 </w:t>
      </w:r>
      <w:proofErr w:type="spellStart"/>
      <w:r>
        <w:rPr>
          <w:rFonts w:ascii="Arial" w:hAnsi="Arial" w:cs="Arial"/>
          <w:sz w:val="22"/>
          <w:szCs w:val="22"/>
        </w:rPr>
        <w:t>razvojnih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donose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odjeli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 xml:space="preserve"> Garešnica).</w:t>
      </w:r>
    </w:p>
    <w:p w14:paraId="5C95CFFF" w14:textId="77777777" w:rsidR="00810814" w:rsidRPr="00810814" w:rsidRDefault="00810814" w:rsidP="00296BC9">
      <w:pPr>
        <w:pStyle w:val="Obinitekst"/>
        <w:rPr>
          <w:rFonts w:ascii="Arial" w:hAnsi="Arial" w:cs="Arial"/>
          <w:sz w:val="22"/>
          <w:szCs w:val="22"/>
        </w:rPr>
      </w:pPr>
    </w:p>
    <w:p w14:paraId="7A596304" w14:textId="77777777" w:rsidR="00810814" w:rsidRPr="00810814" w:rsidRDefault="00810814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810814">
        <w:rPr>
          <w:rFonts w:ascii="Arial" w:hAnsi="Arial" w:cs="Arial"/>
          <w:sz w:val="22"/>
          <w:szCs w:val="22"/>
        </w:rPr>
        <w:t>Financijski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plan </w:t>
      </w:r>
      <w:proofErr w:type="spellStart"/>
      <w:r w:rsidRPr="00810814">
        <w:rPr>
          <w:rFonts w:ascii="Arial" w:hAnsi="Arial" w:cs="Arial"/>
          <w:sz w:val="22"/>
          <w:szCs w:val="22"/>
        </w:rPr>
        <w:t>korisnika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treba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biti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uravnotežen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10814">
        <w:rPr>
          <w:rFonts w:ascii="Arial" w:hAnsi="Arial" w:cs="Arial"/>
          <w:sz w:val="22"/>
          <w:szCs w:val="22"/>
        </w:rPr>
        <w:t>Izuzev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prihod</w:t>
      </w:r>
      <w:r w:rsidR="00296BC9">
        <w:rPr>
          <w:rFonts w:ascii="Arial" w:hAnsi="Arial" w:cs="Arial"/>
          <w:sz w:val="22"/>
          <w:szCs w:val="22"/>
        </w:rPr>
        <w:t>a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i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rashoda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96BC9">
        <w:rPr>
          <w:rFonts w:ascii="Arial" w:hAnsi="Arial" w:cs="Arial"/>
          <w:sz w:val="22"/>
          <w:szCs w:val="22"/>
        </w:rPr>
        <w:t>korisnici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najčešće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nemaju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primitaka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i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izd</w:t>
      </w:r>
      <w:r w:rsidR="00296BC9">
        <w:rPr>
          <w:rFonts w:ascii="Arial" w:hAnsi="Arial" w:cs="Arial"/>
          <w:sz w:val="22"/>
          <w:szCs w:val="22"/>
        </w:rPr>
        <w:t>ataka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296BC9">
        <w:rPr>
          <w:rFonts w:ascii="Arial" w:hAnsi="Arial" w:cs="Arial"/>
          <w:sz w:val="22"/>
          <w:szCs w:val="22"/>
        </w:rPr>
        <w:t>potrebno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je u plan </w:t>
      </w:r>
      <w:proofErr w:type="spellStart"/>
      <w:r w:rsidR="00296BC9">
        <w:rPr>
          <w:rFonts w:ascii="Arial" w:hAnsi="Arial" w:cs="Arial"/>
          <w:sz w:val="22"/>
          <w:szCs w:val="22"/>
        </w:rPr>
        <w:t>uključ</w:t>
      </w:r>
      <w:r w:rsidRPr="00810814">
        <w:rPr>
          <w:rFonts w:ascii="Arial" w:hAnsi="Arial" w:cs="Arial"/>
          <w:sz w:val="22"/>
          <w:szCs w:val="22"/>
        </w:rPr>
        <w:t>i</w:t>
      </w:r>
      <w:r w:rsidR="00296BC9">
        <w:rPr>
          <w:rFonts w:ascii="Arial" w:hAnsi="Arial" w:cs="Arial"/>
          <w:sz w:val="22"/>
          <w:szCs w:val="22"/>
        </w:rPr>
        <w:t>ti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i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predvideni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BC9">
        <w:rPr>
          <w:rFonts w:ascii="Arial" w:hAnsi="Arial" w:cs="Arial"/>
          <w:sz w:val="22"/>
          <w:szCs w:val="22"/>
        </w:rPr>
        <w:t>manjak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96BC9">
        <w:rPr>
          <w:rFonts w:ascii="Arial" w:hAnsi="Arial" w:cs="Arial"/>
          <w:sz w:val="22"/>
          <w:szCs w:val="22"/>
        </w:rPr>
        <w:t>odnosno</w:t>
      </w:r>
      <w:proofErr w:type="spellEnd"/>
      <w:r w:rsidR="00296B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višak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prihoda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te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i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C33653">
        <w:rPr>
          <w:rFonts w:ascii="Arial" w:hAnsi="Arial" w:cs="Arial"/>
          <w:sz w:val="22"/>
          <w:szCs w:val="22"/>
        </w:rPr>
        <w:t>navedenim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bilančnim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kategorijama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postić</w:t>
      </w:r>
      <w:r w:rsidRPr="00810814">
        <w:rPr>
          <w:rFonts w:ascii="Arial" w:hAnsi="Arial" w:cs="Arial"/>
          <w:sz w:val="22"/>
          <w:szCs w:val="22"/>
        </w:rPr>
        <w:t>i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uravnoteženje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10814">
        <w:rPr>
          <w:rFonts w:ascii="Arial" w:hAnsi="Arial" w:cs="Arial"/>
          <w:sz w:val="22"/>
          <w:szCs w:val="22"/>
        </w:rPr>
        <w:t>Ovim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10814">
        <w:rPr>
          <w:rFonts w:ascii="Arial" w:hAnsi="Arial" w:cs="Arial"/>
          <w:sz w:val="22"/>
          <w:szCs w:val="22"/>
        </w:rPr>
        <w:t>Uputama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daje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model </w:t>
      </w:r>
      <w:proofErr w:type="spellStart"/>
      <w:r w:rsidRPr="00810814">
        <w:rPr>
          <w:rFonts w:ascii="Arial" w:hAnsi="Arial" w:cs="Arial"/>
          <w:sz w:val="22"/>
          <w:szCs w:val="22"/>
        </w:rPr>
        <w:t>iz</w:t>
      </w:r>
      <w:r w:rsidR="00C33653">
        <w:rPr>
          <w:rFonts w:ascii="Arial" w:hAnsi="Arial" w:cs="Arial"/>
          <w:sz w:val="22"/>
          <w:szCs w:val="22"/>
        </w:rPr>
        <w:t>rade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financijskog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plana s </w:t>
      </w:r>
      <w:proofErr w:type="spellStart"/>
      <w:r w:rsidR="00C33653">
        <w:rPr>
          <w:rFonts w:ascii="Arial" w:hAnsi="Arial" w:cs="Arial"/>
          <w:sz w:val="22"/>
          <w:szCs w:val="22"/>
        </w:rPr>
        <w:t>uključ</w:t>
      </w:r>
      <w:r w:rsidRPr="00810814">
        <w:rPr>
          <w:rFonts w:ascii="Arial" w:hAnsi="Arial" w:cs="Arial"/>
          <w:sz w:val="22"/>
          <w:szCs w:val="22"/>
        </w:rPr>
        <w:t>enim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manjkom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10814">
        <w:rPr>
          <w:rFonts w:ascii="Arial" w:hAnsi="Arial" w:cs="Arial"/>
          <w:sz w:val="22"/>
          <w:szCs w:val="22"/>
        </w:rPr>
        <w:t>odnosno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viškom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0814">
        <w:rPr>
          <w:rFonts w:ascii="Arial" w:hAnsi="Arial" w:cs="Arial"/>
          <w:sz w:val="22"/>
          <w:szCs w:val="22"/>
        </w:rPr>
        <w:t>prihoda</w:t>
      </w:r>
      <w:proofErr w:type="spellEnd"/>
      <w:r w:rsidRPr="00810814">
        <w:rPr>
          <w:rFonts w:ascii="Arial" w:hAnsi="Arial" w:cs="Arial"/>
          <w:sz w:val="22"/>
          <w:szCs w:val="22"/>
        </w:rPr>
        <w:t xml:space="preserve">. </w:t>
      </w:r>
    </w:p>
    <w:p w14:paraId="52389A8C" w14:textId="77777777" w:rsidR="00115C31" w:rsidRDefault="00115C31" w:rsidP="009B5EC8">
      <w:pPr>
        <w:pStyle w:val="Obinitekst"/>
        <w:rPr>
          <w:rFonts w:ascii="Arial" w:hAnsi="Arial" w:cs="Arial"/>
          <w:sz w:val="22"/>
          <w:szCs w:val="22"/>
        </w:rPr>
      </w:pPr>
    </w:p>
    <w:p w14:paraId="608DBDB5" w14:textId="77777777" w:rsidR="00115C31" w:rsidRPr="00810814" w:rsidRDefault="00115C31" w:rsidP="00296BC9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38B3A238" w14:textId="77777777" w:rsidR="00810814" w:rsidRDefault="00C33653" w:rsidP="00296BC9">
      <w:pPr>
        <w:ind w:firstLine="567"/>
        <w:jc w:val="both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Tablica</w:t>
      </w:r>
      <w:proofErr w:type="spellEnd"/>
      <w:r w:rsidR="00CE6D95">
        <w:rPr>
          <w:rFonts w:ascii="Arial" w:hAnsi="Arial" w:cs="Arial"/>
          <w:i/>
        </w:rPr>
        <w:t xml:space="preserve">: </w:t>
      </w:r>
      <w:proofErr w:type="spellStart"/>
      <w:r w:rsidR="00CE6D95">
        <w:rPr>
          <w:rFonts w:ascii="Arial" w:hAnsi="Arial" w:cs="Arial"/>
          <w:i/>
        </w:rPr>
        <w:t>Isječa</w:t>
      </w:r>
      <w:r w:rsidR="00296BC9">
        <w:rPr>
          <w:rFonts w:ascii="Arial" w:hAnsi="Arial" w:cs="Arial"/>
          <w:i/>
        </w:rPr>
        <w:t>k</w:t>
      </w:r>
      <w:proofErr w:type="spellEnd"/>
      <w:r w:rsidR="00296BC9">
        <w:rPr>
          <w:rFonts w:ascii="Arial" w:hAnsi="Arial" w:cs="Arial"/>
          <w:i/>
        </w:rPr>
        <w:t xml:space="preserve"> </w:t>
      </w:r>
      <w:proofErr w:type="spellStart"/>
      <w:r w:rsidR="00296BC9">
        <w:rPr>
          <w:rFonts w:ascii="Arial" w:hAnsi="Arial" w:cs="Arial"/>
          <w:i/>
        </w:rPr>
        <w:t>iz</w:t>
      </w:r>
      <w:proofErr w:type="spellEnd"/>
      <w:r w:rsidR="00296BC9">
        <w:rPr>
          <w:rFonts w:ascii="Arial" w:hAnsi="Arial" w:cs="Arial"/>
          <w:i/>
        </w:rPr>
        <w:t xml:space="preserve"> </w:t>
      </w:r>
      <w:proofErr w:type="spellStart"/>
      <w:r w:rsidR="00296BC9">
        <w:rPr>
          <w:rFonts w:ascii="Arial" w:hAnsi="Arial" w:cs="Arial"/>
          <w:i/>
        </w:rPr>
        <w:t>prijedloga</w:t>
      </w:r>
      <w:proofErr w:type="spellEnd"/>
      <w:r w:rsidR="00296BC9">
        <w:rPr>
          <w:rFonts w:ascii="Arial" w:hAnsi="Arial" w:cs="Arial"/>
          <w:i/>
        </w:rPr>
        <w:t xml:space="preserve"> </w:t>
      </w:r>
      <w:proofErr w:type="spellStart"/>
      <w:r w:rsidR="00296BC9">
        <w:rPr>
          <w:rFonts w:ascii="Arial" w:hAnsi="Arial" w:cs="Arial"/>
          <w:i/>
        </w:rPr>
        <w:t>financijskog</w:t>
      </w:r>
      <w:proofErr w:type="spellEnd"/>
      <w:r w:rsidR="00296BC9">
        <w:rPr>
          <w:rFonts w:ascii="Arial" w:hAnsi="Arial" w:cs="Arial"/>
          <w:i/>
        </w:rPr>
        <w:t xml:space="preserve"> plana </w:t>
      </w:r>
      <w:proofErr w:type="spellStart"/>
      <w:r w:rsidR="00296BC9">
        <w:rPr>
          <w:rFonts w:ascii="Arial" w:hAnsi="Arial" w:cs="Arial"/>
          <w:i/>
        </w:rPr>
        <w:t>proračunskog</w:t>
      </w:r>
      <w:proofErr w:type="spellEnd"/>
      <w:r w:rsidR="00296BC9">
        <w:rPr>
          <w:rFonts w:ascii="Arial" w:hAnsi="Arial" w:cs="Arial"/>
          <w:i/>
        </w:rPr>
        <w:t xml:space="preserve"> </w:t>
      </w:r>
      <w:proofErr w:type="spellStart"/>
      <w:r w:rsidR="00296BC9">
        <w:rPr>
          <w:rFonts w:ascii="Arial" w:hAnsi="Arial" w:cs="Arial"/>
          <w:i/>
        </w:rPr>
        <w:t>korisnika</w:t>
      </w:r>
      <w:proofErr w:type="spellEnd"/>
      <w:r w:rsidR="00296BC9">
        <w:rPr>
          <w:rFonts w:ascii="Arial" w:hAnsi="Arial" w:cs="Arial"/>
          <w:i/>
        </w:rPr>
        <w:t xml:space="preserve"> </w:t>
      </w:r>
      <w:proofErr w:type="spellStart"/>
      <w:r w:rsidR="00296BC9">
        <w:rPr>
          <w:rFonts w:ascii="Arial" w:hAnsi="Arial" w:cs="Arial"/>
          <w:i/>
        </w:rPr>
        <w:t>proračuna</w:t>
      </w:r>
      <w:proofErr w:type="spellEnd"/>
      <w:r w:rsidR="00296BC9">
        <w:rPr>
          <w:rFonts w:ascii="Arial" w:hAnsi="Arial" w:cs="Arial"/>
          <w:i/>
        </w:rPr>
        <w:t xml:space="preserve"> </w:t>
      </w:r>
      <w:proofErr w:type="spellStart"/>
      <w:r w:rsidR="00296BC9">
        <w:rPr>
          <w:rFonts w:ascii="Arial" w:hAnsi="Arial" w:cs="Arial"/>
          <w:i/>
        </w:rPr>
        <w:t>jedinice</w:t>
      </w:r>
      <w:proofErr w:type="spellEnd"/>
      <w:r w:rsidR="00296BC9">
        <w:rPr>
          <w:rFonts w:ascii="Arial" w:hAnsi="Arial" w:cs="Arial"/>
          <w:i/>
        </w:rPr>
        <w:t xml:space="preserve"> </w:t>
      </w:r>
      <w:proofErr w:type="spellStart"/>
      <w:r w:rsidR="00296BC9">
        <w:rPr>
          <w:rFonts w:ascii="Arial" w:hAnsi="Arial" w:cs="Arial"/>
          <w:i/>
        </w:rPr>
        <w:t>lokalne</w:t>
      </w:r>
      <w:proofErr w:type="spellEnd"/>
      <w:r w:rsidR="00296BC9">
        <w:rPr>
          <w:rFonts w:ascii="Arial" w:hAnsi="Arial" w:cs="Arial"/>
          <w:i/>
        </w:rPr>
        <w:t xml:space="preserve"> </w:t>
      </w:r>
      <w:proofErr w:type="spellStart"/>
      <w:r w:rsidR="00296BC9">
        <w:rPr>
          <w:rFonts w:ascii="Arial" w:hAnsi="Arial" w:cs="Arial"/>
          <w:i/>
        </w:rPr>
        <w:t>i</w:t>
      </w:r>
      <w:proofErr w:type="spellEnd"/>
      <w:r w:rsidR="00296BC9">
        <w:rPr>
          <w:rFonts w:ascii="Arial" w:hAnsi="Arial" w:cs="Arial"/>
          <w:i/>
        </w:rPr>
        <w:t xml:space="preserve"> </w:t>
      </w:r>
      <w:proofErr w:type="spellStart"/>
      <w:r w:rsidR="00296BC9">
        <w:rPr>
          <w:rFonts w:ascii="Arial" w:hAnsi="Arial" w:cs="Arial"/>
          <w:i/>
        </w:rPr>
        <w:t>područne</w:t>
      </w:r>
      <w:proofErr w:type="spellEnd"/>
      <w:r w:rsidR="00296BC9">
        <w:rPr>
          <w:rFonts w:ascii="Arial" w:hAnsi="Arial" w:cs="Arial"/>
          <w:i/>
        </w:rPr>
        <w:t xml:space="preserve"> (</w:t>
      </w:r>
      <w:proofErr w:type="spellStart"/>
      <w:r w:rsidR="00296BC9">
        <w:rPr>
          <w:rFonts w:ascii="Arial" w:hAnsi="Arial" w:cs="Arial"/>
          <w:i/>
        </w:rPr>
        <w:t>regionalne</w:t>
      </w:r>
      <w:proofErr w:type="spellEnd"/>
      <w:r w:rsidR="00296BC9">
        <w:rPr>
          <w:rFonts w:ascii="Arial" w:hAnsi="Arial" w:cs="Arial"/>
          <w:i/>
        </w:rPr>
        <w:t xml:space="preserve">) </w:t>
      </w:r>
      <w:proofErr w:type="spellStart"/>
      <w:r w:rsidR="00296BC9">
        <w:rPr>
          <w:rFonts w:ascii="Arial" w:hAnsi="Arial" w:cs="Arial"/>
          <w:i/>
        </w:rPr>
        <w:t>samouprave</w:t>
      </w:r>
      <w:proofErr w:type="spellEnd"/>
    </w:p>
    <w:p w14:paraId="5E631389" w14:textId="77777777" w:rsidR="00CE6D95" w:rsidRDefault="00CE6D95" w:rsidP="00296BC9">
      <w:pPr>
        <w:ind w:firstLine="567"/>
        <w:jc w:val="both"/>
        <w:rPr>
          <w:rFonts w:ascii="Arial" w:hAnsi="Arial" w:cs="Arial"/>
          <w:i/>
        </w:rPr>
      </w:pPr>
    </w:p>
    <w:p w14:paraId="19F15CC4" w14:textId="77777777" w:rsidR="00CE6D95" w:rsidRDefault="00CE6D95" w:rsidP="00296BC9">
      <w:pPr>
        <w:ind w:firstLine="567"/>
        <w:jc w:val="both"/>
        <w:rPr>
          <w:rFonts w:ascii="Arial" w:hAnsi="Arial" w:cs="Arial"/>
          <w:i/>
        </w:rPr>
      </w:pPr>
    </w:p>
    <w:p w14:paraId="5B80978E" w14:textId="77777777" w:rsidR="00CE6D95" w:rsidRDefault="00296BC9" w:rsidP="00296BC9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PRIJEDLOG FINANCIJSKOG PLANA (</w:t>
      </w:r>
      <w:proofErr w:type="spellStart"/>
      <w:r>
        <w:rPr>
          <w:rFonts w:ascii="Arial" w:hAnsi="Arial" w:cs="Arial"/>
        </w:rPr>
        <w:t>proračunski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korisnik</w:t>
      </w:r>
      <w:proofErr w:type="spellEnd"/>
      <w:r>
        <w:rPr>
          <w:rFonts w:ascii="Arial" w:hAnsi="Arial" w:cs="Arial"/>
        </w:rPr>
        <w:t xml:space="preserve">) </w:t>
      </w:r>
    </w:p>
    <w:p w14:paraId="6F42FFF2" w14:textId="38CF0CED" w:rsidR="00296BC9" w:rsidRDefault="00CE6D95" w:rsidP="00296BC9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5565A0">
        <w:rPr>
          <w:rFonts w:ascii="Arial" w:hAnsi="Arial" w:cs="Arial"/>
        </w:rPr>
        <w:t xml:space="preserve"> 20</w:t>
      </w:r>
      <w:r w:rsidR="00B051E3">
        <w:rPr>
          <w:rFonts w:ascii="Arial" w:hAnsi="Arial" w:cs="Arial"/>
        </w:rPr>
        <w:t>2</w:t>
      </w:r>
      <w:r w:rsidR="00DC7ED8">
        <w:rPr>
          <w:rFonts w:ascii="Arial" w:hAnsi="Arial" w:cs="Arial"/>
        </w:rPr>
        <w:t>2</w:t>
      </w:r>
      <w:r w:rsidR="00296B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 PROJEKCIJA PLANA ZA </w:t>
      </w:r>
      <w:r w:rsidR="005565A0">
        <w:rPr>
          <w:rFonts w:ascii="Arial" w:hAnsi="Arial" w:cs="Arial"/>
        </w:rPr>
        <w:t>20</w:t>
      </w:r>
      <w:r w:rsidR="00B051E3">
        <w:rPr>
          <w:rFonts w:ascii="Arial" w:hAnsi="Arial" w:cs="Arial"/>
        </w:rPr>
        <w:t>2</w:t>
      </w:r>
      <w:r w:rsidR="00DC7ED8">
        <w:rPr>
          <w:rFonts w:ascii="Arial" w:hAnsi="Arial" w:cs="Arial"/>
        </w:rPr>
        <w:t>3</w:t>
      </w:r>
      <w:r w:rsidR="00296BC9">
        <w:rPr>
          <w:rFonts w:ascii="Arial" w:hAnsi="Arial" w:cs="Arial"/>
        </w:rPr>
        <w:t xml:space="preserve">. </w:t>
      </w:r>
      <w:proofErr w:type="spellStart"/>
      <w:r w:rsidR="00296BC9">
        <w:rPr>
          <w:rFonts w:ascii="Arial" w:hAnsi="Arial" w:cs="Arial"/>
        </w:rPr>
        <w:t>i</w:t>
      </w:r>
      <w:proofErr w:type="spellEnd"/>
      <w:r w:rsidR="00296BC9">
        <w:rPr>
          <w:rFonts w:ascii="Arial" w:hAnsi="Arial" w:cs="Arial"/>
        </w:rPr>
        <w:t xml:space="preserve"> </w:t>
      </w:r>
      <w:r w:rsidR="005565A0">
        <w:rPr>
          <w:rFonts w:ascii="Arial" w:hAnsi="Arial" w:cs="Arial"/>
        </w:rPr>
        <w:t>20</w:t>
      </w:r>
      <w:r w:rsidR="00B051E3">
        <w:rPr>
          <w:rFonts w:ascii="Arial" w:hAnsi="Arial" w:cs="Arial"/>
        </w:rPr>
        <w:t>2</w:t>
      </w:r>
      <w:r w:rsidR="00DC7ED8">
        <w:rPr>
          <w:rFonts w:ascii="Arial" w:hAnsi="Arial" w:cs="Arial"/>
        </w:rPr>
        <w:t>4</w:t>
      </w:r>
      <w:r>
        <w:rPr>
          <w:rFonts w:ascii="Arial" w:hAnsi="Arial" w:cs="Arial"/>
        </w:rPr>
        <w:t>. GODINU</w:t>
      </w:r>
    </w:p>
    <w:p w14:paraId="7861CD30" w14:textId="77777777" w:rsidR="00CE6D95" w:rsidRDefault="00CE6D95" w:rsidP="00296BC9">
      <w:pPr>
        <w:ind w:firstLine="567"/>
        <w:jc w:val="center"/>
        <w:rPr>
          <w:rFonts w:ascii="Arial" w:hAnsi="Arial" w:cs="Arial"/>
        </w:rPr>
      </w:pPr>
    </w:p>
    <w:p w14:paraId="5B09A864" w14:textId="77777777" w:rsidR="00CE6D95" w:rsidRDefault="00CE6D95" w:rsidP="00296BC9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OPĆI DIO </w:t>
      </w:r>
    </w:p>
    <w:p w14:paraId="1C8DEB35" w14:textId="77777777" w:rsidR="00CE6D95" w:rsidRPr="00296BC9" w:rsidRDefault="00CE6D95" w:rsidP="009B5EC8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2"/>
        <w:gridCol w:w="1525"/>
        <w:gridCol w:w="1530"/>
        <w:gridCol w:w="1636"/>
      </w:tblGrid>
      <w:tr w:rsidR="00296BC9" w:rsidRPr="00CE6D95" w14:paraId="1D95B089" w14:textId="77777777" w:rsidTr="00CE6D95">
        <w:tc>
          <w:tcPr>
            <w:tcW w:w="4786" w:type="dxa"/>
          </w:tcPr>
          <w:p w14:paraId="0B8512CB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2EB49D" w14:textId="1195D98A" w:rsidR="00296BC9" w:rsidRPr="00CE6D95" w:rsidRDefault="005565A0" w:rsidP="00CE6D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Prijedlog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plana za 20</w:t>
            </w:r>
            <w:r w:rsidR="00B051E3">
              <w:rPr>
                <w:rFonts w:ascii="Arial" w:hAnsi="Arial" w:cs="Arial"/>
                <w:sz w:val="16"/>
                <w:szCs w:val="16"/>
              </w:rPr>
              <w:t>2</w:t>
            </w:r>
            <w:r w:rsidR="00DC7ED8">
              <w:rPr>
                <w:rFonts w:ascii="Arial" w:hAnsi="Arial" w:cs="Arial"/>
                <w:sz w:val="16"/>
                <w:szCs w:val="16"/>
              </w:rPr>
              <w:t>2</w:t>
            </w:r>
            <w:r w:rsidR="00CE6D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19D3ADB9" w14:textId="416451E5" w:rsidR="00296BC9" w:rsidRPr="00CE6D95" w:rsidRDefault="005565A0" w:rsidP="00CE6D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Projekcija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plana za 20</w:t>
            </w:r>
            <w:r w:rsidR="00B051E3">
              <w:rPr>
                <w:rFonts w:ascii="Arial" w:hAnsi="Arial" w:cs="Arial"/>
                <w:sz w:val="16"/>
                <w:szCs w:val="16"/>
              </w:rPr>
              <w:t>2</w:t>
            </w:r>
            <w:r w:rsidR="00DC7ED8">
              <w:rPr>
                <w:rFonts w:ascii="Arial" w:hAnsi="Arial" w:cs="Arial"/>
                <w:sz w:val="16"/>
                <w:szCs w:val="16"/>
              </w:rPr>
              <w:t>3</w:t>
            </w:r>
            <w:r w:rsidR="00CE6D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71" w:type="dxa"/>
          </w:tcPr>
          <w:p w14:paraId="68BC5F02" w14:textId="53BB6A37" w:rsidR="00296BC9" w:rsidRPr="00CE6D95" w:rsidRDefault="005565A0" w:rsidP="00CE6D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Projekcija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plana za 20</w:t>
            </w:r>
            <w:r w:rsidR="00B051E3">
              <w:rPr>
                <w:rFonts w:ascii="Arial" w:hAnsi="Arial" w:cs="Arial"/>
                <w:sz w:val="16"/>
                <w:szCs w:val="16"/>
              </w:rPr>
              <w:t>2</w:t>
            </w:r>
            <w:r w:rsidR="00DC7ED8">
              <w:rPr>
                <w:rFonts w:ascii="Arial" w:hAnsi="Arial" w:cs="Arial"/>
                <w:sz w:val="16"/>
                <w:szCs w:val="16"/>
              </w:rPr>
              <w:t>4</w:t>
            </w:r>
            <w:r w:rsidR="00CE6D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96BC9" w:rsidRPr="00CE6D95" w14:paraId="08279A6B" w14:textId="77777777" w:rsidTr="00CE6D95">
        <w:tc>
          <w:tcPr>
            <w:tcW w:w="4786" w:type="dxa"/>
          </w:tcPr>
          <w:p w14:paraId="12A24553" w14:textId="77777777" w:rsidR="00296BC9" w:rsidRPr="00CE6D95" w:rsidRDefault="00CE6D95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6D95">
              <w:rPr>
                <w:rFonts w:ascii="Arial" w:hAnsi="Arial" w:cs="Arial"/>
                <w:sz w:val="16"/>
                <w:szCs w:val="16"/>
              </w:rPr>
              <w:t>PRIHODI UKUPNO</w:t>
            </w:r>
          </w:p>
        </w:tc>
        <w:tc>
          <w:tcPr>
            <w:tcW w:w="1559" w:type="dxa"/>
          </w:tcPr>
          <w:p w14:paraId="764A348D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7CEF64B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79CB5277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BC9" w:rsidRPr="00CE6D95" w14:paraId="795B63D0" w14:textId="77777777" w:rsidTr="00CE6D95">
        <w:tc>
          <w:tcPr>
            <w:tcW w:w="4786" w:type="dxa"/>
          </w:tcPr>
          <w:p w14:paraId="725B9FA8" w14:textId="77777777" w:rsidR="00296BC9" w:rsidRPr="00CE6D95" w:rsidRDefault="00CE6D95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PRIHODI POSLOVANJA</w:t>
            </w:r>
          </w:p>
        </w:tc>
        <w:tc>
          <w:tcPr>
            <w:tcW w:w="1559" w:type="dxa"/>
          </w:tcPr>
          <w:p w14:paraId="4008F75A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3061355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0B208357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BC9" w:rsidRPr="00CE6D95" w14:paraId="27D11ACD" w14:textId="77777777" w:rsidTr="00CE6D95">
        <w:tc>
          <w:tcPr>
            <w:tcW w:w="4786" w:type="dxa"/>
          </w:tcPr>
          <w:p w14:paraId="42112024" w14:textId="77777777" w:rsidR="00296BC9" w:rsidRPr="00CE6D95" w:rsidRDefault="00CE6D95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PRIHODI OD PRODAJE NEFINANCIJSKE IMOVINE</w:t>
            </w:r>
          </w:p>
        </w:tc>
        <w:tc>
          <w:tcPr>
            <w:tcW w:w="1559" w:type="dxa"/>
          </w:tcPr>
          <w:p w14:paraId="260AEF67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C8F1298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67C91254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BC9" w:rsidRPr="00CE6D95" w14:paraId="6B82999C" w14:textId="77777777" w:rsidTr="00CE6D95">
        <w:tc>
          <w:tcPr>
            <w:tcW w:w="4786" w:type="dxa"/>
          </w:tcPr>
          <w:p w14:paraId="1BFDEEBC" w14:textId="77777777" w:rsidR="00296BC9" w:rsidRPr="00CE6D95" w:rsidRDefault="00CE6D95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UKUPNO</w:t>
            </w:r>
          </w:p>
        </w:tc>
        <w:tc>
          <w:tcPr>
            <w:tcW w:w="1559" w:type="dxa"/>
          </w:tcPr>
          <w:p w14:paraId="77BC67FA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1EDDF2E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6D9796D7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BC9" w:rsidRPr="00CE6D95" w14:paraId="0E40F72E" w14:textId="77777777" w:rsidTr="00CE6D95">
        <w:tc>
          <w:tcPr>
            <w:tcW w:w="4786" w:type="dxa"/>
          </w:tcPr>
          <w:p w14:paraId="0C4BD7E8" w14:textId="77777777" w:rsidR="00296BC9" w:rsidRPr="00CE6D95" w:rsidRDefault="00CE6D95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POSLOVANJA</w:t>
            </w:r>
          </w:p>
        </w:tc>
        <w:tc>
          <w:tcPr>
            <w:tcW w:w="1559" w:type="dxa"/>
          </w:tcPr>
          <w:p w14:paraId="54A697DA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61C655B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5A6921C2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BC9" w:rsidRPr="00CE6D95" w14:paraId="0F4C9E78" w14:textId="77777777" w:rsidTr="00CE6D95">
        <w:tc>
          <w:tcPr>
            <w:tcW w:w="4786" w:type="dxa"/>
          </w:tcPr>
          <w:p w14:paraId="6D57622B" w14:textId="77777777" w:rsidR="00296BC9" w:rsidRPr="00CE6D95" w:rsidRDefault="00CE6D95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ZA NEFINANCIJSKU IMOVINU</w:t>
            </w:r>
          </w:p>
        </w:tc>
        <w:tc>
          <w:tcPr>
            <w:tcW w:w="1559" w:type="dxa"/>
          </w:tcPr>
          <w:p w14:paraId="4C5E103E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FA207D8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1613C3D6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BC9" w:rsidRPr="00CE6D95" w14:paraId="2C134BC9" w14:textId="77777777" w:rsidTr="00CE6D95">
        <w:tc>
          <w:tcPr>
            <w:tcW w:w="4786" w:type="dxa"/>
          </w:tcPr>
          <w:p w14:paraId="09681E24" w14:textId="77777777" w:rsidR="00296BC9" w:rsidRPr="00CE6D95" w:rsidRDefault="00CE6D95" w:rsidP="00CE6D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6D95">
              <w:rPr>
                <w:rFonts w:ascii="Arial" w:hAnsi="Arial" w:cs="Arial"/>
                <w:b/>
                <w:sz w:val="16"/>
                <w:szCs w:val="16"/>
              </w:rPr>
              <w:t>RAZLIKA – VIŠAK / MANJAK</w:t>
            </w:r>
          </w:p>
        </w:tc>
        <w:tc>
          <w:tcPr>
            <w:tcW w:w="1559" w:type="dxa"/>
          </w:tcPr>
          <w:p w14:paraId="7A58F58F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1D16EC7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1A939DA4" w14:textId="77777777" w:rsidR="00296BC9" w:rsidRPr="00CE6D95" w:rsidRDefault="00296BC9" w:rsidP="00296B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4F2220" w14:textId="77777777" w:rsidR="00296BC9" w:rsidRDefault="00296BC9" w:rsidP="00296BC9">
      <w:pPr>
        <w:ind w:firstLine="567"/>
        <w:jc w:val="both"/>
        <w:rPr>
          <w:rFonts w:ascii="Arial" w:hAnsi="Arial" w:cs="Arial"/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28"/>
        <w:gridCol w:w="1527"/>
        <w:gridCol w:w="1531"/>
        <w:gridCol w:w="1637"/>
      </w:tblGrid>
      <w:tr w:rsidR="00CE6D95" w:rsidRPr="00CE6D95" w14:paraId="026870D0" w14:textId="77777777" w:rsidTr="00503109">
        <w:tc>
          <w:tcPr>
            <w:tcW w:w="4786" w:type="dxa"/>
          </w:tcPr>
          <w:p w14:paraId="25DD2A1A" w14:textId="77777777" w:rsidR="00CE6D95" w:rsidRPr="00CE6D95" w:rsidRDefault="00CE6D95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A4E051" w14:textId="4320F08D" w:rsidR="00CE6D95" w:rsidRPr="00CE6D95" w:rsidRDefault="005565A0" w:rsidP="00503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Prijedlog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plana za 20</w:t>
            </w:r>
            <w:r w:rsidR="00B051E3">
              <w:rPr>
                <w:rFonts w:ascii="Arial" w:hAnsi="Arial" w:cs="Arial"/>
                <w:sz w:val="16"/>
                <w:szCs w:val="16"/>
              </w:rPr>
              <w:t>2</w:t>
            </w:r>
            <w:r w:rsidR="00DC7ED8">
              <w:rPr>
                <w:rFonts w:ascii="Arial" w:hAnsi="Arial" w:cs="Arial"/>
                <w:sz w:val="16"/>
                <w:szCs w:val="16"/>
              </w:rPr>
              <w:t>2</w:t>
            </w:r>
            <w:r w:rsidR="00CE6D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403E5818" w14:textId="1565B121" w:rsidR="00CE6D95" w:rsidRPr="00CE6D95" w:rsidRDefault="005565A0" w:rsidP="00503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Projekcija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plana za 20</w:t>
            </w:r>
            <w:r w:rsidR="00B051E3">
              <w:rPr>
                <w:rFonts w:ascii="Arial" w:hAnsi="Arial" w:cs="Arial"/>
                <w:sz w:val="16"/>
                <w:szCs w:val="16"/>
              </w:rPr>
              <w:t>2</w:t>
            </w:r>
            <w:r w:rsidR="00DC7ED8">
              <w:rPr>
                <w:rFonts w:ascii="Arial" w:hAnsi="Arial" w:cs="Arial"/>
                <w:sz w:val="16"/>
                <w:szCs w:val="16"/>
              </w:rPr>
              <w:t>3</w:t>
            </w:r>
            <w:r w:rsidR="00CE6D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71" w:type="dxa"/>
          </w:tcPr>
          <w:p w14:paraId="32C6744D" w14:textId="7F370924" w:rsidR="00CE6D95" w:rsidRPr="00CE6D95" w:rsidRDefault="005565A0" w:rsidP="00503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Projekcija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plana za 20</w:t>
            </w:r>
            <w:r w:rsidR="00B051E3">
              <w:rPr>
                <w:rFonts w:ascii="Arial" w:hAnsi="Arial" w:cs="Arial"/>
                <w:sz w:val="16"/>
                <w:szCs w:val="16"/>
              </w:rPr>
              <w:t>2</w:t>
            </w:r>
            <w:r w:rsidR="00DC7ED8">
              <w:rPr>
                <w:rFonts w:ascii="Arial" w:hAnsi="Arial" w:cs="Arial"/>
                <w:sz w:val="16"/>
                <w:szCs w:val="16"/>
              </w:rPr>
              <w:t>4</w:t>
            </w:r>
            <w:r w:rsidR="00CE6D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E6D95" w:rsidRPr="00CE6D95" w14:paraId="55539A9D" w14:textId="77777777" w:rsidTr="00503109">
        <w:tc>
          <w:tcPr>
            <w:tcW w:w="4786" w:type="dxa"/>
          </w:tcPr>
          <w:p w14:paraId="7BBC8FEF" w14:textId="77777777" w:rsidR="00CE6D95" w:rsidRPr="00CE6D95" w:rsidRDefault="00CE6D95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VIŠAK / MANJAK IZ PRETHODNE GODINE</w:t>
            </w:r>
          </w:p>
        </w:tc>
        <w:tc>
          <w:tcPr>
            <w:tcW w:w="1559" w:type="dxa"/>
          </w:tcPr>
          <w:p w14:paraId="0BEAC2C2" w14:textId="77777777" w:rsidR="00CE6D95" w:rsidRPr="00CE6D95" w:rsidRDefault="00CE6D95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83E4B7E" w14:textId="77777777" w:rsidR="00CE6D95" w:rsidRPr="00CE6D95" w:rsidRDefault="00CE6D95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18E2F166" w14:textId="77777777" w:rsidR="00CE6D95" w:rsidRPr="00CE6D95" w:rsidRDefault="00CE6D95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5F5A99" w14:textId="77777777" w:rsidR="00DC1647" w:rsidRDefault="00DC1647" w:rsidP="00CE6D95">
      <w:pPr>
        <w:jc w:val="both"/>
        <w:rPr>
          <w:rFonts w:ascii="Arial" w:hAnsi="Arial" w:cs="Arial"/>
        </w:rPr>
      </w:pPr>
    </w:p>
    <w:p w14:paraId="7C233FB9" w14:textId="77777777" w:rsidR="00DC1647" w:rsidRDefault="00DC1647" w:rsidP="00CE6D95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1"/>
        <w:gridCol w:w="1526"/>
        <w:gridCol w:w="1530"/>
        <w:gridCol w:w="1636"/>
      </w:tblGrid>
      <w:tr w:rsidR="00DC1647" w:rsidRPr="00CE6D95" w14:paraId="7577F0EC" w14:textId="77777777" w:rsidTr="00503109">
        <w:tc>
          <w:tcPr>
            <w:tcW w:w="4786" w:type="dxa"/>
          </w:tcPr>
          <w:p w14:paraId="6F50997C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1D1EDD" w14:textId="64047BE8" w:rsidR="00DC1647" w:rsidRPr="00CE6D95" w:rsidRDefault="005565A0" w:rsidP="00503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Prijedlog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plana za 20</w:t>
            </w:r>
            <w:r w:rsidR="00B051E3">
              <w:rPr>
                <w:rFonts w:ascii="Arial" w:hAnsi="Arial" w:cs="Arial"/>
                <w:sz w:val="16"/>
                <w:szCs w:val="16"/>
              </w:rPr>
              <w:t>2</w:t>
            </w:r>
            <w:r w:rsidR="00DC7ED8">
              <w:rPr>
                <w:rFonts w:ascii="Arial" w:hAnsi="Arial" w:cs="Arial"/>
                <w:sz w:val="16"/>
                <w:szCs w:val="16"/>
              </w:rPr>
              <w:t>2</w:t>
            </w:r>
            <w:r w:rsidR="00DC164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3235BEA8" w14:textId="28AF69BA" w:rsidR="00DC1647" w:rsidRPr="00CE6D95" w:rsidRDefault="005565A0" w:rsidP="00503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Projekcija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plana za 20</w:t>
            </w:r>
            <w:r w:rsidR="00B051E3">
              <w:rPr>
                <w:rFonts w:ascii="Arial" w:hAnsi="Arial" w:cs="Arial"/>
                <w:sz w:val="16"/>
                <w:szCs w:val="16"/>
              </w:rPr>
              <w:t>2</w:t>
            </w:r>
            <w:r w:rsidR="00DC7ED8">
              <w:rPr>
                <w:rFonts w:ascii="Arial" w:hAnsi="Arial" w:cs="Arial"/>
                <w:sz w:val="16"/>
                <w:szCs w:val="16"/>
              </w:rPr>
              <w:t>3</w:t>
            </w:r>
            <w:r w:rsidR="00DC164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71" w:type="dxa"/>
          </w:tcPr>
          <w:p w14:paraId="52DFF99D" w14:textId="4CA4FEF0" w:rsidR="00DC1647" w:rsidRPr="00CE6D95" w:rsidRDefault="005565A0" w:rsidP="00503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Projekcija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plana za 20</w:t>
            </w:r>
            <w:r w:rsidR="00B051E3">
              <w:rPr>
                <w:rFonts w:ascii="Arial" w:hAnsi="Arial" w:cs="Arial"/>
                <w:sz w:val="16"/>
                <w:szCs w:val="16"/>
              </w:rPr>
              <w:t>2</w:t>
            </w:r>
            <w:r w:rsidR="00DC7ED8">
              <w:rPr>
                <w:rFonts w:ascii="Arial" w:hAnsi="Arial" w:cs="Arial"/>
                <w:sz w:val="16"/>
                <w:szCs w:val="16"/>
              </w:rPr>
              <w:t>4</w:t>
            </w:r>
            <w:r w:rsidR="00DC164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C1647" w:rsidRPr="00CE6D95" w14:paraId="7823DE8C" w14:textId="77777777" w:rsidTr="00503109">
        <w:tc>
          <w:tcPr>
            <w:tcW w:w="4786" w:type="dxa"/>
          </w:tcPr>
          <w:p w14:paraId="1562755D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559" w:type="dxa"/>
          </w:tcPr>
          <w:p w14:paraId="7D3D2C5A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EDB620C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314D28D2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647" w:rsidRPr="00CE6D95" w14:paraId="4108DD3D" w14:textId="77777777" w:rsidTr="00503109">
        <w:tc>
          <w:tcPr>
            <w:tcW w:w="4786" w:type="dxa"/>
          </w:tcPr>
          <w:p w14:paraId="131D8E08" w14:textId="77777777" w:rsidR="00DC1647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559" w:type="dxa"/>
          </w:tcPr>
          <w:p w14:paraId="6FDE9568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916A214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0454B74E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647" w:rsidRPr="00CE6D95" w14:paraId="672F7E88" w14:textId="77777777" w:rsidTr="00503109">
        <w:tc>
          <w:tcPr>
            <w:tcW w:w="4786" w:type="dxa"/>
          </w:tcPr>
          <w:p w14:paraId="0C1C45F4" w14:textId="77777777" w:rsidR="00DC1647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NETO FINANCIRANJA</w:t>
            </w:r>
          </w:p>
        </w:tc>
        <w:tc>
          <w:tcPr>
            <w:tcW w:w="1559" w:type="dxa"/>
          </w:tcPr>
          <w:p w14:paraId="33B45E7C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9998168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01063BC4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647" w:rsidRPr="00CE6D95" w14:paraId="31AE9FFD" w14:textId="77777777" w:rsidTr="00503109">
        <w:tc>
          <w:tcPr>
            <w:tcW w:w="4786" w:type="dxa"/>
          </w:tcPr>
          <w:p w14:paraId="24160751" w14:textId="77777777" w:rsidR="00DC1647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23808B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90757B1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9BC239A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647" w:rsidRPr="00CE6D95" w14:paraId="0D1B6514" w14:textId="77777777" w:rsidTr="00503109">
        <w:tc>
          <w:tcPr>
            <w:tcW w:w="4786" w:type="dxa"/>
          </w:tcPr>
          <w:p w14:paraId="133C8CF9" w14:textId="77777777" w:rsidR="00DC1647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VIŠAK / MANJAK + NETO FINANCIRANJE</w:t>
            </w:r>
          </w:p>
        </w:tc>
        <w:tc>
          <w:tcPr>
            <w:tcW w:w="1559" w:type="dxa"/>
          </w:tcPr>
          <w:p w14:paraId="14F8DAB1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9EA6E8D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19FDE2F" w14:textId="77777777" w:rsidR="00DC1647" w:rsidRPr="00CE6D95" w:rsidRDefault="00DC1647" w:rsidP="005031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0165FD" w14:textId="77777777" w:rsidR="00DC1647" w:rsidRDefault="00DC1647" w:rsidP="00CE6D95">
      <w:pPr>
        <w:jc w:val="both"/>
        <w:rPr>
          <w:rFonts w:ascii="Arial" w:hAnsi="Arial" w:cs="Arial"/>
        </w:rPr>
      </w:pPr>
    </w:p>
    <w:p w14:paraId="23B27DD1" w14:textId="77777777" w:rsidR="00DC1647" w:rsidRDefault="00DC1647" w:rsidP="00CE6D95">
      <w:pPr>
        <w:jc w:val="both"/>
        <w:rPr>
          <w:rFonts w:ascii="Arial" w:hAnsi="Arial" w:cs="Arial"/>
        </w:rPr>
      </w:pPr>
    </w:p>
    <w:p w14:paraId="11918BC7" w14:textId="77777777" w:rsidR="00DC1647" w:rsidRPr="00DC1647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Model </w:t>
      </w:r>
      <w:proofErr w:type="spellStart"/>
      <w:r>
        <w:rPr>
          <w:rFonts w:ascii="Arial" w:hAnsi="Arial" w:cs="Arial"/>
          <w:sz w:val="22"/>
          <w:szCs w:val="22"/>
        </w:rPr>
        <w:t>financijskog</w:t>
      </w:r>
      <w:proofErr w:type="spellEnd"/>
      <w:r>
        <w:rPr>
          <w:rFonts w:ascii="Arial" w:hAnsi="Arial" w:cs="Arial"/>
          <w:sz w:val="22"/>
          <w:szCs w:val="22"/>
        </w:rPr>
        <w:t xml:space="preserve"> plana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DC1647">
        <w:rPr>
          <w:rFonts w:ascii="Arial" w:hAnsi="Arial" w:cs="Arial"/>
          <w:sz w:val="22"/>
          <w:szCs w:val="22"/>
        </w:rPr>
        <w:t>unskog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korisnika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računa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</w:t>
      </w:r>
      <w:r w:rsidRPr="00DC1647">
        <w:rPr>
          <w:rFonts w:ascii="Arial" w:hAnsi="Arial" w:cs="Arial"/>
          <w:sz w:val="22"/>
          <w:szCs w:val="22"/>
        </w:rPr>
        <w:t>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C1647">
        <w:rPr>
          <w:rFonts w:ascii="Arial" w:hAnsi="Arial" w:cs="Arial"/>
          <w:sz w:val="22"/>
          <w:szCs w:val="22"/>
        </w:rPr>
        <w:t>(</w:t>
      </w:r>
      <w:proofErr w:type="spellStart"/>
      <w:r w:rsidRPr="00DC1647">
        <w:rPr>
          <w:rFonts w:ascii="Arial" w:hAnsi="Arial" w:cs="Arial"/>
          <w:sz w:val="22"/>
          <w:szCs w:val="22"/>
        </w:rPr>
        <w:t>regionalne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C1647">
        <w:rPr>
          <w:rFonts w:ascii="Arial" w:hAnsi="Arial" w:cs="Arial"/>
          <w:sz w:val="22"/>
          <w:szCs w:val="22"/>
        </w:rPr>
        <w:t>samouprave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dan je u </w:t>
      </w:r>
      <w:proofErr w:type="spellStart"/>
      <w:r w:rsidRPr="00DC1647">
        <w:rPr>
          <w:rFonts w:ascii="Arial" w:hAnsi="Arial" w:cs="Arial"/>
          <w:sz w:val="22"/>
          <w:szCs w:val="22"/>
        </w:rPr>
        <w:t>prilo</w:t>
      </w:r>
      <w:r>
        <w:rPr>
          <w:rFonts w:ascii="Arial" w:hAnsi="Arial" w:cs="Arial"/>
          <w:sz w:val="22"/>
          <w:szCs w:val="22"/>
        </w:rPr>
        <w:t>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Uputa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Sastoji</w:t>
      </w:r>
      <w:proofErr w:type="spellEnd"/>
      <w:r>
        <w:rPr>
          <w:rFonts w:ascii="Arial" w:hAnsi="Arial" w:cs="Arial"/>
          <w:sz w:val="22"/>
          <w:szCs w:val="22"/>
        </w:rPr>
        <w:t xml:space="preserve"> se od </w:t>
      </w:r>
      <w:proofErr w:type="spellStart"/>
      <w:r>
        <w:rPr>
          <w:rFonts w:ascii="Arial" w:hAnsi="Arial" w:cs="Arial"/>
          <w:sz w:val="22"/>
          <w:szCs w:val="22"/>
        </w:rPr>
        <w:t>Opć</w:t>
      </w:r>
      <w:r w:rsidRPr="00DC1647">
        <w:rPr>
          <w:rFonts w:ascii="Arial" w:hAnsi="Arial" w:cs="Arial"/>
          <w:sz w:val="22"/>
          <w:szCs w:val="22"/>
        </w:rPr>
        <w:t>eg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dijela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, Plana </w:t>
      </w:r>
      <w:proofErr w:type="spellStart"/>
      <w:r w:rsidRPr="00DC1647">
        <w:rPr>
          <w:rFonts w:ascii="Arial" w:hAnsi="Arial" w:cs="Arial"/>
          <w:sz w:val="22"/>
          <w:szCs w:val="22"/>
        </w:rPr>
        <w:t>prihoda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Pr="00DC1647">
        <w:rPr>
          <w:rFonts w:ascii="Arial" w:hAnsi="Arial" w:cs="Arial"/>
          <w:sz w:val="22"/>
          <w:szCs w:val="22"/>
        </w:rPr>
        <w:t>rashoda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izdataka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. </w:t>
      </w:r>
    </w:p>
    <w:p w14:paraId="17AC0466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3D316BE3" w14:textId="77777777" w:rsidR="00DC1647" w:rsidRDefault="00DC1647" w:rsidP="00C33653">
      <w:pPr>
        <w:ind w:firstLine="567"/>
        <w:jc w:val="both"/>
        <w:rPr>
          <w:rFonts w:ascii="Arial" w:hAnsi="Arial" w:cs="Arial"/>
          <w:b/>
        </w:rPr>
      </w:pPr>
      <w:proofErr w:type="spellStart"/>
      <w:r w:rsidRPr="00DC1647">
        <w:rPr>
          <w:rFonts w:ascii="Arial" w:hAnsi="Arial" w:cs="Arial"/>
          <w:b/>
        </w:rPr>
        <w:t>Procjena</w:t>
      </w:r>
      <w:proofErr w:type="spellEnd"/>
      <w:r w:rsidRPr="00DC1647">
        <w:rPr>
          <w:rFonts w:ascii="Arial" w:hAnsi="Arial" w:cs="Arial"/>
          <w:b/>
        </w:rPr>
        <w:t xml:space="preserve"> </w:t>
      </w:r>
      <w:proofErr w:type="spellStart"/>
      <w:r w:rsidRPr="00DC1647">
        <w:rPr>
          <w:rFonts w:ascii="Arial" w:hAnsi="Arial" w:cs="Arial"/>
          <w:b/>
        </w:rPr>
        <w:t>prihoda</w:t>
      </w:r>
      <w:proofErr w:type="spellEnd"/>
      <w:r w:rsidRPr="00DC1647">
        <w:rPr>
          <w:rFonts w:ascii="Arial" w:hAnsi="Arial" w:cs="Arial"/>
          <w:b/>
        </w:rPr>
        <w:t xml:space="preserve"> </w:t>
      </w:r>
      <w:proofErr w:type="spellStart"/>
      <w:r w:rsidRPr="00DC1647">
        <w:rPr>
          <w:rFonts w:ascii="Arial" w:hAnsi="Arial" w:cs="Arial"/>
          <w:b/>
        </w:rPr>
        <w:t>i</w:t>
      </w:r>
      <w:proofErr w:type="spellEnd"/>
      <w:r w:rsidRPr="00DC1647">
        <w:rPr>
          <w:rFonts w:ascii="Arial" w:hAnsi="Arial" w:cs="Arial"/>
          <w:b/>
        </w:rPr>
        <w:t xml:space="preserve"> </w:t>
      </w:r>
      <w:proofErr w:type="spellStart"/>
      <w:r w:rsidRPr="00DC1647">
        <w:rPr>
          <w:rFonts w:ascii="Arial" w:hAnsi="Arial" w:cs="Arial"/>
          <w:b/>
        </w:rPr>
        <w:t>primitaka</w:t>
      </w:r>
      <w:proofErr w:type="spellEnd"/>
    </w:p>
    <w:p w14:paraId="2C04AB19" w14:textId="77777777" w:rsidR="00DC1647" w:rsidRDefault="00DC1647" w:rsidP="00C33653">
      <w:pPr>
        <w:ind w:firstLine="567"/>
        <w:jc w:val="both"/>
        <w:rPr>
          <w:rFonts w:ascii="Arial" w:hAnsi="Arial" w:cs="Arial"/>
          <w:b/>
        </w:rPr>
      </w:pPr>
    </w:p>
    <w:p w14:paraId="4A24AA6F" w14:textId="123C5C0A" w:rsidR="00DC1647" w:rsidRPr="00DC1647" w:rsidRDefault="00E1671B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Prorač</w:t>
      </w:r>
      <w:r w:rsidR="00DC1647" w:rsidRPr="00DC1647">
        <w:rPr>
          <w:rFonts w:ascii="Arial" w:hAnsi="Arial" w:cs="Arial"/>
          <w:sz w:val="22"/>
          <w:szCs w:val="22"/>
        </w:rPr>
        <w:t>unski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korisnik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jedinice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lokalne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podrucne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regionalne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samou</w:t>
      </w:r>
      <w:r w:rsidR="005565A0">
        <w:rPr>
          <w:rFonts w:ascii="Arial" w:hAnsi="Arial" w:cs="Arial"/>
          <w:sz w:val="22"/>
          <w:szCs w:val="22"/>
        </w:rPr>
        <w:t>prave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prihode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i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primitke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za 20</w:t>
      </w:r>
      <w:r w:rsidR="00B051E3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2</w:t>
      </w:r>
      <w:r w:rsidR="00DC1647" w:rsidRPr="00DC164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godinu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planira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na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razini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podskupine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treć</w:t>
      </w:r>
      <w:r w:rsidR="00DC1647" w:rsidRPr="00DC1647">
        <w:rPr>
          <w:rFonts w:ascii="Arial" w:hAnsi="Arial" w:cs="Arial"/>
          <w:sz w:val="22"/>
          <w:szCs w:val="22"/>
        </w:rPr>
        <w:t>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ra</w:t>
      </w:r>
      <w:r w:rsidR="005565A0">
        <w:rPr>
          <w:rFonts w:ascii="Arial" w:hAnsi="Arial" w:cs="Arial"/>
          <w:sz w:val="22"/>
          <w:szCs w:val="22"/>
        </w:rPr>
        <w:t>zina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ra</w:t>
      </w:r>
      <w:r w:rsidR="00B051E3">
        <w:rPr>
          <w:rFonts w:ascii="Arial" w:hAnsi="Arial" w:cs="Arial"/>
          <w:sz w:val="22"/>
          <w:szCs w:val="22"/>
        </w:rPr>
        <w:t>č</w:t>
      </w:r>
      <w:r w:rsidR="005565A0">
        <w:rPr>
          <w:rFonts w:ascii="Arial" w:hAnsi="Arial" w:cs="Arial"/>
          <w:sz w:val="22"/>
          <w:szCs w:val="22"/>
        </w:rPr>
        <w:t>unskog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plana), a za 20</w:t>
      </w:r>
      <w:r w:rsidR="00B051E3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3</w:t>
      </w:r>
      <w:r w:rsidR="005565A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565A0">
        <w:rPr>
          <w:rFonts w:ascii="Arial" w:hAnsi="Arial" w:cs="Arial"/>
          <w:sz w:val="22"/>
          <w:szCs w:val="22"/>
        </w:rPr>
        <w:t>i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20</w:t>
      </w:r>
      <w:r w:rsidR="00B051E3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4</w:t>
      </w:r>
      <w:r w:rsidR="00DC1647" w:rsidRPr="00DC164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na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skupine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druga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rač</w:t>
      </w:r>
      <w:r w:rsidR="00DC1647" w:rsidRPr="00DC1647">
        <w:rPr>
          <w:rFonts w:ascii="Arial" w:hAnsi="Arial" w:cs="Arial"/>
          <w:sz w:val="22"/>
          <w:szCs w:val="22"/>
        </w:rPr>
        <w:t>unskog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lana). </w:t>
      </w:r>
      <w:proofErr w:type="spellStart"/>
      <w:r>
        <w:rPr>
          <w:rFonts w:ascii="Arial" w:hAnsi="Arial" w:cs="Arial"/>
          <w:sz w:val="22"/>
          <w:szCs w:val="22"/>
        </w:rPr>
        <w:t>Jedinice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</w:t>
      </w:r>
      <w:r w:rsidR="00DC1647" w:rsidRPr="00DC1647">
        <w:rPr>
          <w:rFonts w:ascii="Arial" w:hAnsi="Arial" w:cs="Arial"/>
          <w:sz w:val="22"/>
          <w:szCs w:val="22"/>
        </w:rPr>
        <w:t>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regiona</w:t>
      </w:r>
      <w:r>
        <w:rPr>
          <w:rFonts w:ascii="Arial" w:hAnsi="Arial" w:cs="Arial"/>
          <w:sz w:val="22"/>
          <w:szCs w:val="22"/>
        </w:rPr>
        <w:t>lne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samouprave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njihovi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DC1647" w:rsidRPr="00DC1647">
        <w:rPr>
          <w:rFonts w:ascii="Arial" w:hAnsi="Arial" w:cs="Arial"/>
          <w:sz w:val="22"/>
          <w:szCs w:val="22"/>
        </w:rPr>
        <w:t>unski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korisnici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koriste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izvore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financiranja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definirane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Pravilnikom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DC1647" w:rsidRPr="00DC1647">
        <w:rPr>
          <w:rFonts w:ascii="Arial" w:hAnsi="Arial" w:cs="Arial"/>
          <w:sz w:val="22"/>
          <w:szCs w:val="22"/>
        </w:rPr>
        <w:t>unskim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klasifikacijama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. </w:t>
      </w:r>
    </w:p>
    <w:p w14:paraId="7BAB41AE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7403BCD9" w14:textId="731BBC16" w:rsidR="00DC1647" w:rsidRPr="00DC1647" w:rsidRDefault="00E1671B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Prorač</w:t>
      </w:r>
      <w:r w:rsidR="00DC1647" w:rsidRPr="00DC1647">
        <w:rPr>
          <w:rFonts w:ascii="Arial" w:hAnsi="Arial" w:cs="Arial"/>
          <w:sz w:val="22"/>
          <w:szCs w:val="22"/>
        </w:rPr>
        <w:t>unski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korisnici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obvezni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su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izraditi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procjenu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prihoda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primitaka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razdoblje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r w:rsidR="005565A0">
        <w:rPr>
          <w:rFonts w:ascii="Arial" w:hAnsi="Arial" w:cs="Arial"/>
          <w:sz w:val="22"/>
          <w:szCs w:val="22"/>
        </w:rPr>
        <w:t>20</w:t>
      </w:r>
      <w:r w:rsidR="00B051E3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2</w:t>
      </w:r>
      <w:r w:rsidR="005565A0">
        <w:rPr>
          <w:rFonts w:ascii="Arial" w:hAnsi="Arial" w:cs="Arial"/>
          <w:sz w:val="22"/>
          <w:szCs w:val="22"/>
        </w:rPr>
        <w:t>. – 20</w:t>
      </w:r>
      <w:r w:rsidR="00B051E3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4</w:t>
      </w:r>
      <w:r w:rsidR="00DC1647" w:rsidRPr="00DC1647">
        <w:rPr>
          <w:rFonts w:ascii="Arial" w:hAnsi="Arial" w:cs="Arial"/>
          <w:sz w:val="22"/>
          <w:szCs w:val="22"/>
        </w:rPr>
        <w:t xml:space="preserve">. po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izvorima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financiranja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Izvori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financiranja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predstavljaju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skupine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prihoda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primitaka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iz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kojih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C33653">
        <w:rPr>
          <w:rFonts w:ascii="Arial" w:hAnsi="Arial" w:cs="Arial"/>
          <w:sz w:val="22"/>
          <w:szCs w:val="22"/>
        </w:rPr>
        <w:t>podmiruju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rashodi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i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izdaci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određ</w:t>
      </w:r>
      <w:r w:rsidR="00DC1647" w:rsidRPr="00DC1647">
        <w:rPr>
          <w:rFonts w:ascii="Arial" w:hAnsi="Arial" w:cs="Arial"/>
          <w:sz w:val="22"/>
          <w:szCs w:val="22"/>
        </w:rPr>
        <w:t>ene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vrste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utvrdene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namjene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Osnovni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izvori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financiranja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jesu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: </w:t>
      </w:r>
    </w:p>
    <w:p w14:paraId="4E70CEC9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58B9DBE5" w14:textId="77777777" w:rsidR="00DC1647" w:rsidRPr="00DC1647" w:rsidRDefault="00E1671B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Opć</w:t>
      </w:r>
      <w:r w:rsidR="00DC1647" w:rsidRPr="00DC1647">
        <w:rPr>
          <w:rFonts w:ascii="Arial" w:hAnsi="Arial" w:cs="Arial"/>
          <w:sz w:val="22"/>
          <w:szCs w:val="22"/>
        </w:rPr>
        <w:t>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prihodi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primici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</w:p>
    <w:p w14:paraId="6D35C917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DC1647">
        <w:rPr>
          <w:rFonts w:ascii="Arial" w:hAnsi="Arial" w:cs="Arial"/>
          <w:sz w:val="22"/>
          <w:szCs w:val="22"/>
        </w:rPr>
        <w:t>Vlastiti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</w:p>
    <w:p w14:paraId="43705C95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DC1647">
        <w:rPr>
          <w:rFonts w:ascii="Arial" w:hAnsi="Arial" w:cs="Arial"/>
          <w:sz w:val="22"/>
          <w:szCs w:val="22"/>
        </w:rPr>
        <w:t>Prihodi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C1647">
        <w:rPr>
          <w:rFonts w:ascii="Arial" w:hAnsi="Arial" w:cs="Arial"/>
          <w:sz w:val="22"/>
          <w:szCs w:val="22"/>
        </w:rPr>
        <w:t>posebne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namjene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</w:p>
    <w:p w14:paraId="489CA941" w14:textId="77777777" w:rsidR="00DC1647" w:rsidRPr="00DC1647" w:rsidRDefault="00E1671B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Pomoć</w:t>
      </w:r>
      <w:r w:rsidR="00DC1647" w:rsidRPr="00DC1647">
        <w:rPr>
          <w:rFonts w:ascii="Arial" w:hAnsi="Arial" w:cs="Arial"/>
          <w:sz w:val="22"/>
          <w:szCs w:val="22"/>
        </w:rPr>
        <w:t>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</w:p>
    <w:p w14:paraId="3D15F662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DC1647">
        <w:rPr>
          <w:rFonts w:ascii="Arial" w:hAnsi="Arial" w:cs="Arial"/>
          <w:sz w:val="22"/>
          <w:szCs w:val="22"/>
        </w:rPr>
        <w:t>Donacije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</w:p>
    <w:p w14:paraId="0E99EA4B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DC1647">
        <w:rPr>
          <w:rFonts w:ascii="Arial" w:hAnsi="Arial" w:cs="Arial"/>
          <w:sz w:val="22"/>
          <w:szCs w:val="22"/>
        </w:rPr>
        <w:t>Prihodi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1647">
        <w:rPr>
          <w:rFonts w:ascii="Arial" w:hAnsi="Arial" w:cs="Arial"/>
          <w:sz w:val="22"/>
          <w:szCs w:val="22"/>
        </w:rPr>
        <w:t>prodaje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ili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zamjene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nefinancijske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imovine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naknade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1647">
        <w:rPr>
          <w:rFonts w:ascii="Arial" w:hAnsi="Arial" w:cs="Arial"/>
          <w:sz w:val="22"/>
          <w:szCs w:val="22"/>
        </w:rPr>
        <w:t>naslova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osiguranja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</w:p>
    <w:p w14:paraId="41BDE6CF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 xml:space="preserve">7. </w:t>
      </w:r>
      <w:proofErr w:type="spellStart"/>
      <w:r w:rsidRPr="00DC1647">
        <w:rPr>
          <w:rFonts w:ascii="Arial" w:hAnsi="Arial" w:cs="Arial"/>
          <w:sz w:val="22"/>
          <w:szCs w:val="22"/>
        </w:rPr>
        <w:t>Namjenski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primici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. </w:t>
      </w:r>
    </w:p>
    <w:p w14:paraId="2D4C6971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6775F083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3298B0FA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 xml:space="preserve"> </w:t>
      </w:r>
    </w:p>
    <w:p w14:paraId="26CA2311" w14:textId="77777777" w:rsidR="00DC1647" w:rsidRPr="00DC1647" w:rsidRDefault="00E1671B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Izvor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financiranja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opći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prihodi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primici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uključ</w:t>
      </w:r>
      <w:r w:rsidR="00DC1647" w:rsidRPr="00DC1647">
        <w:rPr>
          <w:rFonts w:ascii="Arial" w:hAnsi="Arial" w:cs="Arial"/>
          <w:sz w:val="22"/>
          <w:szCs w:val="22"/>
        </w:rPr>
        <w:t>uje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prihode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od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poreza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prihode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financijske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imovine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prihode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nefinancijske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imovine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prihode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administrativnih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upravnih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pristojbi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prihode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od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kazni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. </w:t>
      </w:r>
    </w:p>
    <w:p w14:paraId="33AFF827" w14:textId="77777777" w:rsidR="00DC1647" w:rsidRPr="00DC1647" w:rsidRDefault="00E1671B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Izvor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financiranja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opći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prihodi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primici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proračunski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korisnik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uključ</w:t>
      </w:r>
      <w:r w:rsidR="00DC1647" w:rsidRPr="00DC1647">
        <w:rPr>
          <w:rFonts w:ascii="Arial" w:hAnsi="Arial" w:cs="Arial"/>
          <w:sz w:val="22"/>
          <w:szCs w:val="22"/>
        </w:rPr>
        <w:t>uje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prihode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koje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ostvari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iz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nadležnog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prorač</w:t>
      </w:r>
      <w:r w:rsidR="00DC1647" w:rsidRPr="00DC1647">
        <w:rPr>
          <w:rFonts w:ascii="Arial" w:hAnsi="Arial" w:cs="Arial"/>
          <w:sz w:val="22"/>
          <w:szCs w:val="22"/>
        </w:rPr>
        <w:t>una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koje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planira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okviru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podskupine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671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Prihodi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iz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nadležnog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DC1647" w:rsidRPr="00DC1647">
        <w:rPr>
          <w:rFonts w:ascii="Arial" w:hAnsi="Arial" w:cs="Arial"/>
          <w:sz w:val="22"/>
          <w:szCs w:val="22"/>
        </w:rPr>
        <w:t>una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financiranje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redovn</w:t>
      </w:r>
      <w:r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DC1647" w:rsidRPr="00DC1647">
        <w:rPr>
          <w:rFonts w:ascii="Arial" w:hAnsi="Arial" w:cs="Arial"/>
          <w:sz w:val="22"/>
          <w:szCs w:val="22"/>
        </w:rPr>
        <w:t>unskih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korisnika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. </w:t>
      </w:r>
    </w:p>
    <w:p w14:paraId="00CFB3C2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3B2FC6CF" w14:textId="77777777" w:rsidR="00DC1647" w:rsidRPr="00DC1647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DC1647">
        <w:rPr>
          <w:rFonts w:ascii="Arial" w:hAnsi="Arial" w:cs="Arial"/>
          <w:sz w:val="22"/>
          <w:szCs w:val="22"/>
        </w:rPr>
        <w:t>Izvor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financiranja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vlastiti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prihodi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č</w:t>
      </w:r>
      <w:r w:rsidRPr="00DC1647">
        <w:rPr>
          <w:rFonts w:ascii="Arial" w:hAnsi="Arial" w:cs="Arial"/>
          <w:sz w:val="22"/>
          <w:szCs w:val="22"/>
        </w:rPr>
        <w:t>ine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koje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korisnik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ostvari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obavljanjem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poslova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tržištu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C1647">
        <w:rPr>
          <w:rFonts w:ascii="Arial" w:hAnsi="Arial" w:cs="Arial"/>
          <w:sz w:val="22"/>
          <w:szCs w:val="22"/>
        </w:rPr>
        <w:t>tržišnim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uvjetima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DC1647">
        <w:rPr>
          <w:rFonts w:ascii="Arial" w:hAnsi="Arial" w:cs="Arial"/>
          <w:sz w:val="22"/>
          <w:szCs w:val="22"/>
        </w:rPr>
        <w:t>koje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mogu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obavljati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drugi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pravni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subjekti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izvan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opć</w:t>
      </w:r>
      <w:r w:rsidRPr="00DC1647">
        <w:rPr>
          <w:rFonts w:ascii="Arial" w:hAnsi="Arial" w:cs="Arial"/>
          <w:sz w:val="22"/>
          <w:szCs w:val="22"/>
        </w:rPr>
        <w:t>eg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prorač</w:t>
      </w:r>
      <w:r w:rsidRPr="00DC1647">
        <w:rPr>
          <w:rFonts w:ascii="Arial" w:hAnsi="Arial" w:cs="Arial"/>
          <w:sz w:val="22"/>
          <w:szCs w:val="22"/>
        </w:rPr>
        <w:t>una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C1647">
        <w:rPr>
          <w:rFonts w:ascii="Arial" w:hAnsi="Arial" w:cs="Arial"/>
          <w:sz w:val="22"/>
          <w:szCs w:val="22"/>
        </w:rPr>
        <w:t>iznajmljivanje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prostora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647">
        <w:rPr>
          <w:rFonts w:ascii="Arial" w:hAnsi="Arial" w:cs="Arial"/>
          <w:sz w:val="22"/>
          <w:szCs w:val="22"/>
        </w:rPr>
        <w:t>obavljanje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ugostiteljskih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usluga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sl.). </w:t>
      </w:r>
    </w:p>
    <w:p w14:paraId="32EAC8EB" w14:textId="77777777" w:rsidR="00DC1647" w:rsidRPr="00DC1647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DC1647">
        <w:rPr>
          <w:rFonts w:ascii="Arial" w:hAnsi="Arial" w:cs="Arial"/>
          <w:sz w:val="22"/>
          <w:szCs w:val="22"/>
        </w:rPr>
        <w:t>Vlastiti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iskazuju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DC1647">
        <w:rPr>
          <w:rFonts w:ascii="Arial" w:hAnsi="Arial" w:cs="Arial"/>
          <w:sz w:val="22"/>
          <w:szCs w:val="22"/>
        </w:rPr>
        <w:t>okviru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podskupine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661 </w:t>
      </w:r>
      <w:proofErr w:type="spellStart"/>
      <w:r w:rsidRPr="00DC1647">
        <w:rPr>
          <w:rFonts w:ascii="Arial" w:hAnsi="Arial" w:cs="Arial"/>
          <w:sz w:val="22"/>
          <w:szCs w:val="22"/>
        </w:rPr>
        <w:t>Prihodi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od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prodaje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proizvoda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robe </w:t>
      </w:r>
      <w:proofErr w:type="spellStart"/>
      <w:r w:rsidR="00E1671B">
        <w:rPr>
          <w:rFonts w:ascii="Arial" w:hAnsi="Arial" w:cs="Arial"/>
          <w:sz w:val="22"/>
          <w:szCs w:val="22"/>
        </w:rPr>
        <w:t>te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pruženih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usluga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. </w:t>
      </w:r>
    </w:p>
    <w:p w14:paraId="742ABCE1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269CF7F4" w14:textId="77777777" w:rsidR="00DC1647" w:rsidRPr="00DC1647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DC1647">
        <w:rPr>
          <w:rFonts w:ascii="Arial" w:hAnsi="Arial" w:cs="Arial"/>
          <w:sz w:val="22"/>
          <w:szCs w:val="22"/>
        </w:rPr>
        <w:t>Izvor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financira</w:t>
      </w:r>
      <w:r w:rsidR="00E1671B">
        <w:rPr>
          <w:rFonts w:ascii="Arial" w:hAnsi="Arial" w:cs="Arial"/>
          <w:sz w:val="22"/>
          <w:szCs w:val="22"/>
        </w:rPr>
        <w:t>nja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prihodi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1671B">
        <w:rPr>
          <w:rFonts w:ascii="Arial" w:hAnsi="Arial" w:cs="Arial"/>
          <w:sz w:val="22"/>
          <w:szCs w:val="22"/>
        </w:rPr>
        <w:t>posebne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namjene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čine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prihodi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čije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su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korištenje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i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671B">
        <w:rPr>
          <w:rFonts w:ascii="Arial" w:hAnsi="Arial" w:cs="Arial"/>
          <w:sz w:val="22"/>
          <w:szCs w:val="22"/>
        </w:rPr>
        <w:t>namjena</w:t>
      </w:r>
      <w:proofErr w:type="spellEnd"/>
      <w:r w:rsidR="00E1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utvrdeni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posebnim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zakonima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propisima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. </w:t>
      </w:r>
    </w:p>
    <w:p w14:paraId="6EE11AFD" w14:textId="77777777" w:rsidR="00DC1647" w:rsidRPr="00DC1647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DC1647">
        <w:rPr>
          <w:rFonts w:ascii="Arial" w:hAnsi="Arial" w:cs="Arial"/>
          <w:sz w:val="22"/>
          <w:szCs w:val="22"/>
        </w:rPr>
        <w:t>Primjeri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takvih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prihoda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j</w:t>
      </w:r>
      <w:r w:rsidR="0047329C">
        <w:rPr>
          <w:rFonts w:ascii="Arial" w:hAnsi="Arial" w:cs="Arial"/>
          <w:sz w:val="22"/>
          <w:szCs w:val="22"/>
        </w:rPr>
        <w:t>esu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7329C">
        <w:rPr>
          <w:rFonts w:ascii="Arial" w:hAnsi="Arial" w:cs="Arial"/>
          <w:sz w:val="22"/>
          <w:szCs w:val="22"/>
        </w:rPr>
        <w:t>komunalna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naknada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7329C">
        <w:rPr>
          <w:rFonts w:ascii="Arial" w:hAnsi="Arial" w:cs="Arial"/>
          <w:sz w:val="22"/>
          <w:szCs w:val="22"/>
        </w:rPr>
        <w:t>spomenič</w:t>
      </w:r>
      <w:r w:rsidRPr="00DC1647">
        <w:rPr>
          <w:rFonts w:ascii="Arial" w:hAnsi="Arial" w:cs="Arial"/>
          <w:sz w:val="22"/>
          <w:szCs w:val="22"/>
        </w:rPr>
        <w:t>ka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renta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647">
        <w:rPr>
          <w:rFonts w:ascii="Arial" w:hAnsi="Arial" w:cs="Arial"/>
          <w:sz w:val="22"/>
          <w:szCs w:val="22"/>
        </w:rPr>
        <w:t>vodni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doprinos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647">
        <w:rPr>
          <w:rFonts w:ascii="Arial" w:hAnsi="Arial" w:cs="Arial"/>
          <w:sz w:val="22"/>
          <w:szCs w:val="22"/>
        </w:rPr>
        <w:t>doprinos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C1647">
        <w:rPr>
          <w:rFonts w:ascii="Arial" w:hAnsi="Arial" w:cs="Arial"/>
          <w:sz w:val="22"/>
          <w:szCs w:val="22"/>
        </w:rPr>
        <w:t>šume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ostali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. </w:t>
      </w:r>
    </w:p>
    <w:p w14:paraId="4CD54376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2C89E0E8" w14:textId="77777777" w:rsidR="00DC1647" w:rsidRPr="00DC1647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>4</w:t>
      </w:r>
      <w:r w:rsidR="0047329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7329C">
        <w:rPr>
          <w:rFonts w:ascii="Arial" w:hAnsi="Arial" w:cs="Arial"/>
          <w:sz w:val="22"/>
          <w:szCs w:val="22"/>
        </w:rPr>
        <w:t>Izvor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financiranja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pomoći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č</w:t>
      </w:r>
      <w:r w:rsidRPr="00DC1647">
        <w:rPr>
          <w:rFonts w:ascii="Arial" w:hAnsi="Arial" w:cs="Arial"/>
          <w:sz w:val="22"/>
          <w:szCs w:val="22"/>
        </w:rPr>
        <w:t>ine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ostv</w:t>
      </w:r>
      <w:r w:rsidR="0047329C">
        <w:rPr>
          <w:rFonts w:ascii="Arial" w:hAnsi="Arial" w:cs="Arial"/>
          <w:sz w:val="22"/>
          <w:szCs w:val="22"/>
        </w:rPr>
        <w:t>areni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od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inozemnih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vlada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="0047329C">
        <w:rPr>
          <w:rFonts w:ascii="Arial" w:hAnsi="Arial" w:cs="Arial"/>
          <w:sz w:val="22"/>
          <w:szCs w:val="22"/>
        </w:rPr>
        <w:t>međunarodnih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organizacija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te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institucija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tijela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EU, </w:t>
      </w:r>
      <w:proofErr w:type="spellStart"/>
      <w:r w:rsidRPr="00DC1647">
        <w:rPr>
          <w:rFonts w:ascii="Arial" w:hAnsi="Arial" w:cs="Arial"/>
          <w:sz w:val="22"/>
          <w:szCs w:val="22"/>
        </w:rPr>
        <w:t>prih</w:t>
      </w:r>
      <w:r w:rsidR="0047329C">
        <w:rPr>
          <w:rFonts w:ascii="Arial" w:hAnsi="Arial" w:cs="Arial"/>
          <w:sz w:val="22"/>
          <w:szCs w:val="22"/>
        </w:rPr>
        <w:t>odi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iz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drugih</w:t>
      </w:r>
      <w:proofErr w:type="spellEnd"/>
      <w:r w:rsidR="0047329C">
        <w:rPr>
          <w:rFonts w:ascii="Arial" w:hAnsi="Arial" w:cs="Arial"/>
          <w:sz w:val="22"/>
          <w:szCs w:val="22"/>
        </w:rPr>
        <w:t>/</w:t>
      </w:r>
      <w:proofErr w:type="spellStart"/>
      <w:r w:rsidR="0047329C">
        <w:rPr>
          <w:rFonts w:ascii="Arial" w:hAnsi="Arial" w:cs="Arial"/>
          <w:sz w:val="22"/>
          <w:szCs w:val="22"/>
        </w:rPr>
        <w:t>nenadležnih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proračuna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="0047329C">
        <w:rPr>
          <w:rFonts w:ascii="Arial" w:hAnsi="Arial" w:cs="Arial"/>
          <w:sz w:val="22"/>
          <w:szCs w:val="22"/>
        </w:rPr>
        <w:t>izvanprorač</w:t>
      </w:r>
      <w:r w:rsidRPr="00DC1647">
        <w:rPr>
          <w:rFonts w:ascii="Arial" w:hAnsi="Arial" w:cs="Arial"/>
          <w:sz w:val="22"/>
          <w:szCs w:val="22"/>
        </w:rPr>
        <w:t>unsk</w:t>
      </w:r>
      <w:r w:rsidR="0047329C">
        <w:rPr>
          <w:rFonts w:ascii="Arial" w:hAnsi="Arial" w:cs="Arial"/>
          <w:sz w:val="22"/>
          <w:szCs w:val="22"/>
        </w:rPr>
        <w:t>ih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korisnika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7329C">
        <w:rPr>
          <w:rFonts w:ascii="Arial" w:hAnsi="Arial" w:cs="Arial"/>
          <w:sz w:val="22"/>
          <w:szCs w:val="22"/>
        </w:rPr>
        <w:t>iz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državnog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prorač</w:t>
      </w:r>
      <w:r w:rsidRPr="00DC1647">
        <w:rPr>
          <w:rFonts w:ascii="Arial" w:hAnsi="Arial" w:cs="Arial"/>
          <w:sz w:val="22"/>
          <w:szCs w:val="22"/>
        </w:rPr>
        <w:t>una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temeljem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prijenosa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EU </w:t>
      </w:r>
      <w:proofErr w:type="spellStart"/>
      <w:r w:rsidRPr="00DC1647">
        <w:rPr>
          <w:rFonts w:ascii="Arial" w:hAnsi="Arial" w:cs="Arial"/>
          <w:sz w:val="22"/>
          <w:szCs w:val="22"/>
        </w:rPr>
        <w:t>sredstava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. </w:t>
      </w:r>
    </w:p>
    <w:p w14:paraId="4085F25B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6DAF713C" w14:textId="77777777" w:rsidR="00DC1647" w:rsidRPr="00DC1647" w:rsidRDefault="0047329C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Izvor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financiranja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donacije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prihodi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ostvareni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fizič</w:t>
      </w:r>
      <w:r w:rsidR="00DC1647" w:rsidRPr="00DC1647">
        <w:rPr>
          <w:rFonts w:ascii="Arial" w:hAnsi="Arial" w:cs="Arial"/>
          <w:sz w:val="22"/>
          <w:szCs w:val="22"/>
        </w:rPr>
        <w:t>kih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osoba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neprofitnih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organizacija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trgovač</w:t>
      </w:r>
      <w:r w:rsidR="00DC1647" w:rsidRPr="00DC1647">
        <w:rPr>
          <w:rFonts w:ascii="Arial" w:hAnsi="Arial" w:cs="Arial"/>
          <w:sz w:val="22"/>
          <w:szCs w:val="22"/>
        </w:rPr>
        <w:t>kih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društava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od </w:t>
      </w:r>
      <w:proofErr w:type="spellStart"/>
      <w:r>
        <w:rPr>
          <w:rFonts w:ascii="Arial" w:hAnsi="Arial" w:cs="Arial"/>
          <w:sz w:val="22"/>
          <w:szCs w:val="22"/>
        </w:rPr>
        <w:t>ostalih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subjekata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izvan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općeg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proračuna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DC1647" w:rsidRPr="00DC1647">
        <w:rPr>
          <w:rFonts w:ascii="Arial" w:hAnsi="Arial" w:cs="Arial"/>
          <w:sz w:val="22"/>
          <w:szCs w:val="22"/>
        </w:rPr>
        <w:t>unski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korisnici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mogu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planirati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donacij</w:t>
      </w:r>
      <w:r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skupina</w:t>
      </w:r>
      <w:proofErr w:type="spellEnd"/>
      <w:r>
        <w:rPr>
          <w:rFonts w:ascii="Arial" w:hAnsi="Arial" w:cs="Arial"/>
          <w:sz w:val="22"/>
          <w:szCs w:val="22"/>
        </w:rPr>
        <w:t xml:space="preserve"> 663) od </w:t>
      </w:r>
      <w:proofErr w:type="spellStart"/>
      <w:r>
        <w:rPr>
          <w:rFonts w:ascii="Arial" w:hAnsi="Arial" w:cs="Arial"/>
          <w:sz w:val="22"/>
          <w:szCs w:val="22"/>
        </w:rPr>
        <w:t>drugih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DC1647" w:rsidRPr="00DC1647"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DC1647" w:rsidRPr="00DC1647">
        <w:rPr>
          <w:rFonts w:ascii="Arial" w:hAnsi="Arial" w:cs="Arial"/>
          <w:sz w:val="22"/>
          <w:szCs w:val="22"/>
        </w:rPr>
        <w:t>unskih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1647" w:rsidRPr="00DC1647">
        <w:rPr>
          <w:rFonts w:ascii="Arial" w:hAnsi="Arial" w:cs="Arial"/>
          <w:sz w:val="22"/>
          <w:szCs w:val="22"/>
        </w:rPr>
        <w:t>korisnika</w:t>
      </w:r>
      <w:proofErr w:type="spellEnd"/>
      <w:r w:rsidR="00DC1647" w:rsidRPr="00DC1647">
        <w:rPr>
          <w:rFonts w:ascii="Arial" w:hAnsi="Arial" w:cs="Arial"/>
          <w:sz w:val="22"/>
          <w:szCs w:val="22"/>
        </w:rPr>
        <w:t xml:space="preserve">. </w:t>
      </w:r>
    </w:p>
    <w:p w14:paraId="7E980560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29133A5F" w14:textId="77777777" w:rsidR="0047329C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DC1647">
        <w:rPr>
          <w:rFonts w:ascii="Arial" w:hAnsi="Arial" w:cs="Arial"/>
          <w:sz w:val="22"/>
          <w:szCs w:val="22"/>
        </w:rPr>
        <w:t>Izvor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financiranja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od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prodaje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ili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zamjene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nefinancijske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imovine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naknade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1647">
        <w:rPr>
          <w:rFonts w:ascii="Arial" w:hAnsi="Arial" w:cs="Arial"/>
          <w:sz w:val="22"/>
          <w:szCs w:val="22"/>
        </w:rPr>
        <w:t>naslova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r w:rsidR="0047329C">
        <w:rPr>
          <w:rFonts w:ascii="Arial" w:hAnsi="Arial" w:cs="Arial"/>
          <w:sz w:val="22"/>
          <w:szCs w:val="22"/>
        </w:rPr>
        <w:t xml:space="preserve">osiguranja </w:t>
      </w:r>
      <w:proofErr w:type="spellStart"/>
      <w:r w:rsidR="0047329C">
        <w:rPr>
          <w:rFonts w:ascii="Arial" w:hAnsi="Arial" w:cs="Arial"/>
          <w:sz w:val="22"/>
          <w:szCs w:val="22"/>
        </w:rPr>
        <w:t>č</w:t>
      </w:r>
      <w:r w:rsidRPr="00DC1647">
        <w:rPr>
          <w:rFonts w:ascii="Arial" w:hAnsi="Arial" w:cs="Arial"/>
          <w:sz w:val="22"/>
          <w:szCs w:val="22"/>
        </w:rPr>
        <w:t>ine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ostvareni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prodajom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ili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zamjenom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nefinancijske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imovine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DC1647">
        <w:rPr>
          <w:rFonts w:ascii="Arial" w:hAnsi="Arial" w:cs="Arial"/>
          <w:sz w:val="22"/>
          <w:szCs w:val="22"/>
        </w:rPr>
        <w:t>naknade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štete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C1647">
        <w:rPr>
          <w:rFonts w:ascii="Arial" w:hAnsi="Arial" w:cs="Arial"/>
          <w:sz w:val="22"/>
          <w:szCs w:val="22"/>
        </w:rPr>
        <w:t>osnove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osiguranja, a </w:t>
      </w:r>
      <w:proofErr w:type="spellStart"/>
      <w:r w:rsidRPr="00DC1647">
        <w:rPr>
          <w:rFonts w:ascii="Arial" w:hAnsi="Arial" w:cs="Arial"/>
          <w:sz w:val="22"/>
          <w:szCs w:val="22"/>
        </w:rPr>
        <w:t>mogu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647">
        <w:rPr>
          <w:rFonts w:ascii="Arial" w:hAnsi="Arial" w:cs="Arial"/>
          <w:sz w:val="22"/>
          <w:szCs w:val="22"/>
        </w:rPr>
        <w:t>koristiti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C1647">
        <w:rPr>
          <w:rFonts w:ascii="Arial" w:hAnsi="Arial" w:cs="Arial"/>
          <w:sz w:val="22"/>
          <w:szCs w:val="22"/>
        </w:rPr>
        <w:t>kapitalne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rashode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, za </w:t>
      </w:r>
      <w:proofErr w:type="spellStart"/>
      <w:r w:rsidRPr="00DC1647">
        <w:rPr>
          <w:rFonts w:ascii="Arial" w:hAnsi="Arial" w:cs="Arial"/>
          <w:sz w:val="22"/>
          <w:szCs w:val="22"/>
        </w:rPr>
        <w:t>ulaganja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C1647">
        <w:rPr>
          <w:rFonts w:ascii="Arial" w:hAnsi="Arial" w:cs="Arial"/>
          <w:sz w:val="22"/>
          <w:szCs w:val="22"/>
        </w:rPr>
        <w:t>dionice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udjele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trgovač</w:t>
      </w:r>
      <w:r w:rsidRPr="00DC1647">
        <w:rPr>
          <w:rFonts w:ascii="Arial" w:hAnsi="Arial" w:cs="Arial"/>
          <w:sz w:val="22"/>
          <w:szCs w:val="22"/>
        </w:rPr>
        <w:t>kih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društava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te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C1647">
        <w:rPr>
          <w:rFonts w:ascii="Arial" w:hAnsi="Arial" w:cs="Arial"/>
          <w:sz w:val="22"/>
          <w:szCs w:val="22"/>
        </w:rPr>
        <w:t>o</w:t>
      </w:r>
      <w:r w:rsidR="0047329C">
        <w:rPr>
          <w:rFonts w:ascii="Arial" w:hAnsi="Arial" w:cs="Arial"/>
          <w:sz w:val="22"/>
          <w:szCs w:val="22"/>
        </w:rPr>
        <w:t>tplate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glavnice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temeljem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dugoroč</w:t>
      </w:r>
      <w:r w:rsidRPr="00DC1647">
        <w:rPr>
          <w:rFonts w:ascii="Arial" w:hAnsi="Arial" w:cs="Arial"/>
          <w:sz w:val="22"/>
          <w:szCs w:val="22"/>
        </w:rPr>
        <w:t>nog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zaduživanja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. </w:t>
      </w:r>
    </w:p>
    <w:p w14:paraId="61B32A26" w14:textId="77777777" w:rsidR="00DC1647" w:rsidRPr="00DC1647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DC1647">
        <w:rPr>
          <w:rFonts w:ascii="Arial" w:hAnsi="Arial" w:cs="Arial"/>
          <w:sz w:val="22"/>
          <w:szCs w:val="22"/>
        </w:rPr>
        <w:t>Kapitalni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rashodi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jesu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C1647">
        <w:rPr>
          <w:rFonts w:ascii="Arial" w:hAnsi="Arial" w:cs="Arial"/>
          <w:sz w:val="22"/>
          <w:szCs w:val="22"/>
        </w:rPr>
        <w:t>rashodi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C1647">
        <w:rPr>
          <w:rFonts w:ascii="Arial" w:hAnsi="Arial" w:cs="Arial"/>
          <w:sz w:val="22"/>
          <w:szCs w:val="22"/>
        </w:rPr>
        <w:t>nabavu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nefinancijske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imovine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647">
        <w:rPr>
          <w:rFonts w:ascii="Arial" w:hAnsi="Arial" w:cs="Arial"/>
          <w:sz w:val="22"/>
          <w:szCs w:val="22"/>
        </w:rPr>
        <w:t>rashodi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C1647">
        <w:rPr>
          <w:rFonts w:ascii="Arial" w:hAnsi="Arial" w:cs="Arial"/>
          <w:sz w:val="22"/>
          <w:szCs w:val="22"/>
        </w:rPr>
        <w:t>održavanje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nefinancijske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imovine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7329C">
        <w:rPr>
          <w:rFonts w:ascii="Arial" w:hAnsi="Arial" w:cs="Arial"/>
          <w:sz w:val="22"/>
          <w:szCs w:val="22"/>
        </w:rPr>
        <w:t>kapitalne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pomoći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koje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47329C">
        <w:rPr>
          <w:rFonts w:ascii="Arial" w:hAnsi="Arial" w:cs="Arial"/>
          <w:sz w:val="22"/>
          <w:szCs w:val="22"/>
        </w:rPr>
        <w:t>daju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trgovač</w:t>
      </w:r>
      <w:r w:rsidRPr="00DC1647">
        <w:rPr>
          <w:rFonts w:ascii="Arial" w:hAnsi="Arial" w:cs="Arial"/>
          <w:sz w:val="22"/>
          <w:szCs w:val="22"/>
        </w:rPr>
        <w:t>kim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društvima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C1647">
        <w:rPr>
          <w:rFonts w:ascii="Arial" w:hAnsi="Arial" w:cs="Arial"/>
          <w:sz w:val="22"/>
          <w:szCs w:val="22"/>
        </w:rPr>
        <w:t>kojima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država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647">
        <w:rPr>
          <w:rFonts w:ascii="Arial" w:hAnsi="Arial" w:cs="Arial"/>
          <w:sz w:val="22"/>
          <w:szCs w:val="22"/>
        </w:rPr>
        <w:t>odnosno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jedinica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lokalne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podrucne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7329C">
        <w:rPr>
          <w:rFonts w:ascii="Arial" w:hAnsi="Arial" w:cs="Arial"/>
          <w:sz w:val="22"/>
          <w:szCs w:val="22"/>
        </w:rPr>
        <w:t>regionalne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47329C">
        <w:rPr>
          <w:rFonts w:ascii="Arial" w:hAnsi="Arial" w:cs="Arial"/>
          <w:sz w:val="22"/>
          <w:szCs w:val="22"/>
        </w:rPr>
        <w:t>samouprave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ima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odlučujuć</w:t>
      </w:r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utjecaj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upravljanje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C1647">
        <w:rPr>
          <w:rFonts w:ascii="Arial" w:hAnsi="Arial" w:cs="Arial"/>
          <w:sz w:val="22"/>
          <w:szCs w:val="22"/>
        </w:rPr>
        <w:t>nabavu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nefinancijske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imovine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dodatna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ulaganja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C1647">
        <w:rPr>
          <w:rFonts w:ascii="Arial" w:hAnsi="Arial" w:cs="Arial"/>
          <w:sz w:val="22"/>
          <w:szCs w:val="22"/>
        </w:rPr>
        <w:t>nefinancijsku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imovinu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. </w:t>
      </w:r>
    </w:p>
    <w:p w14:paraId="3164D344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04099AEB" w14:textId="492B15AE" w:rsidR="00DC1647" w:rsidRPr="00DC1647" w:rsidRDefault="00DC1647" w:rsidP="005279C7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 w:rsidRPr="00DC1647">
        <w:rPr>
          <w:rFonts w:ascii="Arial" w:hAnsi="Arial" w:cs="Arial"/>
          <w:sz w:val="22"/>
          <w:szCs w:val="22"/>
        </w:rPr>
        <w:t xml:space="preserve">7. </w:t>
      </w:r>
      <w:proofErr w:type="spellStart"/>
      <w:r w:rsidRPr="00DC1647">
        <w:rPr>
          <w:rFonts w:ascii="Arial" w:hAnsi="Arial" w:cs="Arial"/>
          <w:sz w:val="22"/>
          <w:szCs w:val="22"/>
        </w:rPr>
        <w:t>Izvor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financiranja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namjenski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primici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7670">
        <w:rPr>
          <w:rFonts w:ascii="Arial" w:hAnsi="Arial" w:cs="Arial"/>
          <w:sz w:val="22"/>
          <w:szCs w:val="22"/>
        </w:rPr>
        <w:t>č</w:t>
      </w:r>
      <w:r w:rsidRPr="00DC1647">
        <w:rPr>
          <w:rFonts w:ascii="Arial" w:hAnsi="Arial" w:cs="Arial"/>
          <w:sz w:val="22"/>
          <w:szCs w:val="22"/>
        </w:rPr>
        <w:t>ine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primici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od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financijske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imovine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i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>
        <w:rPr>
          <w:rFonts w:ascii="Arial" w:hAnsi="Arial" w:cs="Arial"/>
          <w:sz w:val="22"/>
          <w:szCs w:val="22"/>
        </w:rPr>
        <w:t>zaduživanja</w:t>
      </w:r>
      <w:proofErr w:type="spellEnd"/>
      <w:r w:rsidR="004732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7329C">
        <w:rPr>
          <w:rFonts w:ascii="Arial" w:hAnsi="Arial" w:cs="Arial"/>
          <w:sz w:val="22"/>
          <w:szCs w:val="22"/>
        </w:rPr>
        <w:t>č</w:t>
      </w:r>
      <w:r w:rsidRPr="00DC1647">
        <w:rPr>
          <w:rFonts w:ascii="Arial" w:hAnsi="Arial" w:cs="Arial"/>
          <w:sz w:val="22"/>
          <w:szCs w:val="22"/>
        </w:rPr>
        <w:t>ija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C1647">
        <w:rPr>
          <w:rFonts w:ascii="Arial" w:hAnsi="Arial" w:cs="Arial"/>
          <w:sz w:val="22"/>
          <w:szCs w:val="22"/>
        </w:rPr>
        <w:t>namjena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utvrdena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posebnim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ugovorima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i</w:t>
      </w:r>
      <w:proofErr w:type="spellEnd"/>
      <w:r w:rsidRPr="00DC1647">
        <w:rPr>
          <w:rFonts w:ascii="Arial" w:hAnsi="Arial" w:cs="Arial"/>
          <w:sz w:val="22"/>
          <w:szCs w:val="22"/>
        </w:rPr>
        <w:t>/</w:t>
      </w:r>
      <w:proofErr w:type="spellStart"/>
      <w:r w:rsidRPr="00DC1647">
        <w:rPr>
          <w:rFonts w:ascii="Arial" w:hAnsi="Arial" w:cs="Arial"/>
          <w:sz w:val="22"/>
          <w:szCs w:val="22"/>
        </w:rPr>
        <w:t>ili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647">
        <w:rPr>
          <w:rFonts w:ascii="Arial" w:hAnsi="Arial" w:cs="Arial"/>
          <w:sz w:val="22"/>
          <w:szCs w:val="22"/>
        </w:rPr>
        <w:t>propisima</w:t>
      </w:r>
      <w:proofErr w:type="spellEnd"/>
      <w:r w:rsidRPr="00DC1647">
        <w:rPr>
          <w:rFonts w:ascii="Arial" w:hAnsi="Arial" w:cs="Arial"/>
          <w:sz w:val="22"/>
          <w:szCs w:val="22"/>
        </w:rPr>
        <w:t xml:space="preserve">. </w:t>
      </w:r>
    </w:p>
    <w:p w14:paraId="7F88DA39" w14:textId="77777777" w:rsid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4028A708" w14:textId="0A0B8205" w:rsidR="0047329C" w:rsidRDefault="0047329C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7687AE30" w14:textId="4E32665E" w:rsidR="00DC7ED8" w:rsidRDefault="00DC7ED8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7E8DF298" w14:textId="26A0B83E" w:rsidR="00DC7ED8" w:rsidRDefault="00DC7ED8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7EC8E249" w14:textId="77777777" w:rsidR="00DC7ED8" w:rsidRPr="00DC1647" w:rsidRDefault="00DC7ED8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729CAE27" w14:textId="77777777" w:rsidR="00DC1647" w:rsidRP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7FD1FC9C" w14:textId="77777777" w:rsidR="00DC1647" w:rsidRDefault="0047329C" w:rsidP="00C33653">
      <w:pPr>
        <w:pStyle w:val="Obinitekst"/>
        <w:ind w:firstLine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Prijedlog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plana </w:t>
      </w:r>
      <w:proofErr w:type="spellStart"/>
      <w:r>
        <w:rPr>
          <w:rFonts w:ascii="Arial" w:hAnsi="Arial" w:cs="Arial"/>
          <w:b/>
          <w:sz w:val="22"/>
          <w:szCs w:val="22"/>
        </w:rPr>
        <w:t>rashoda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izdataka</w:t>
      </w:r>
      <w:proofErr w:type="spellEnd"/>
    </w:p>
    <w:p w14:paraId="35D4E2FC" w14:textId="77777777" w:rsidR="0047329C" w:rsidRDefault="0047329C" w:rsidP="00C33653">
      <w:pPr>
        <w:pStyle w:val="Obinitekst"/>
        <w:ind w:firstLine="567"/>
        <w:rPr>
          <w:rFonts w:ascii="Arial" w:hAnsi="Arial" w:cs="Arial"/>
          <w:b/>
          <w:sz w:val="22"/>
          <w:szCs w:val="22"/>
        </w:rPr>
      </w:pPr>
    </w:p>
    <w:p w14:paraId="4314B031" w14:textId="77777777" w:rsidR="0047329C" w:rsidRPr="0047329C" w:rsidRDefault="00435FAE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Prorač</w:t>
      </w:r>
      <w:r w:rsidR="0047329C" w:rsidRPr="0047329C">
        <w:rPr>
          <w:rFonts w:ascii="Arial" w:hAnsi="Arial" w:cs="Arial"/>
          <w:sz w:val="22"/>
          <w:szCs w:val="22"/>
        </w:rPr>
        <w:t>unski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korisnici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sklopu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funkcija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koje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decentraliziraju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kod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planiranja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rashoda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financiraju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prema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minimalnim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standardima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dužni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su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primjenjivati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financijske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pokazatelje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dane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ovim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Uputama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. </w:t>
      </w:r>
    </w:p>
    <w:p w14:paraId="0BB82F0E" w14:textId="77777777" w:rsidR="0047329C" w:rsidRPr="0047329C" w:rsidRDefault="0047329C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</w:p>
    <w:p w14:paraId="33F1EB1A" w14:textId="4BFEB0F1" w:rsidR="0047329C" w:rsidRPr="0047329C" w:rsidRDefault="00435FAE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Prorač</w:t>
      </w:r>
      <w:r w:rsidR="0047329C" w:rsidRPr="0047329C">
        <w:rPr>
          <w:rFonts w:ascii="Arial" w:hAnsi="Arial" w:cs="Arial"/>
          <w:sz w:val="22"/>
          <w:szCs w:val="22"/>
        </w:rPr>
        <w:t>unski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kor</w:t>
      </w:r>
      <w:r>
        <w:rPr>
          <w:rFonts w:ascii="Arial" w:hAnsi="Arial" w:cs="Arial"/>
          <w:sz w:val="22"/>
          <w:szCs w:val="22"/>
        </w:rPr>
        <w:t>isnici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</w:t>
      </w:r>
      <w:r w:rsidR="0047329C" w:rsidRPr="0047329C">
        <w:rPr>
          <w:rFonts w:ascii="Arial" w:hAnsi="Arial" w:cs="Arial"/>
          <w:sz w:val="22"/>
          <w:szCs w:val="22"/>
        </w:rPr>
        <w:t>ne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regionalne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samouprave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obvezni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su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izraditi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prijedlog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rash</w:t>
      </w:r>
      <w:r w:rsidR="005565A0">
        <w:rPr>
          <w:rFonts w:ascii="Arial" w:hAnsi="Arial" w:cs="Arial"/>
          <w:sz w:val="22"/>
          <w:szCs w:val="22"/>
        </w:rPr>
        <w:t>oda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i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izdataka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565A0">
        <w:rPr>
          <w:rFonts w:ascii="Arial" w:hAnsi="Arial" w:cs="Arial"/>
          <w:sz w:val="22"/>
          <w:szCs w:val="22"/>
        </w:rPr>
        <w:t>razdoblje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20</w:t>
      </w:r>
      <w:r w:rsidR="005404CE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2</w:t>
      </w:r>
      <w:r w:rsidR="005565A0">
        <w:rPr>
          <w:rFonts w:ascii="Arial" w:hAnsi="Arial" w:cs="Arial"/>
          <w:sz w:val="22"/>
          <w:szCs w:val="22"/>
        </w:rPr>
        <w:t>. - 20</w:t>
      </w:r>
      <w:r w:rsidR="005404CE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4</w:t>
      </w:r>
      <w:r w:rsidR="0047329C" w:rsidRPr="0047329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razvrstane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prema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47329C" w:rsidRPr="0047329C">
        <w:rPr>
          <w:rFonts w:ascii="Arial" w:hAnsi="Arial" w:cs="Arial"/>
          <w:sz w:val="22"/>
          <w:szCs w:val="22"/>
        </w:rPr>
        <w:t>unskim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klasifikacijama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Pravilnikom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47329C" w:rsidRPr="0047329C">
        <w:rPr>
          <w:rFonts w:ascii="Arial" w:hAnsi="Arial" w:cs="Arial"/>
          <w:sz w:val="22"/>
          <w:szCs w:val="22"/>
        </w:rPr>
        <w:t>unskim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klasifikacijama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Pravilnikom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proračunskom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računovodstvu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Rač</w:t>
      </w:r>
      <w:r w:rsidR="0047329C" w:rsidRPr="0047329C">
        <w:rPr>
          <w:rFonts w:ascii="Arial" w:hAnsi="Arial" w:cs="Arial"/>
          <w:sz w:val="22"/>
          <w:szCs w:val="22"/>
        </w:rPr>
        <w:t>unskom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planu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. </w:t>
      </w:r>
    </w:p>
    <w:p w14:paraId="62D51511" w14:textId="06576988" w:rsidR="0047329C" w:rsidRDefault="0047329C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02482E99" w14:textId="77777777" w:rsidR="00DA40AF" w:rsidRPr="00DA40AF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2" w:hanging="426"/>
        <w:contextualSpacing w:val="0"/>
        <w:jc w:val="both"/>
        <w:rPr>
          <w:rFonts w:ascii="Arial" w:hAnsi="Arial" w:cs="Arial"/>
        </w:rPr>
      </w:pPr>
      <w:proofErr w:type="spellStart"/>
      <w:r w:rsidRPr="00DA40AF">
        <w:rPr>
          <w:rFonts w:ascii="Arial" w:hAnsi="Arial" w:cs="Arial"/>
        </w:rPr>
        <w:t>Proračunski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izvanproračunski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korisnici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jedinice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lokalne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područne</w:t>
      </w:r>
      <w:proofErr w:type="spellEnd"/>
      <w:r w:rsidRPr="00DA40AF">
        <w:rPr>
          <w:rFonts w:ascii="Arial" w:hAnsi="Arial" w:cs="Arial"/>
        </w:rPr>
        <w:t xml:space="preserve"> (</w:t>
      </w:r>
      <w:proofErr w:type="spellStart"/>
      <w:r w:rsidRPr="00DA40AF">
        <w:rPr>
          <w:rFonts w:ascii="Arial" w:hAnsi="Arial" w:cs="Arial"/>
        </w:rPr>
        <w:t>regionalne</w:t>
      </w:r>
      <w:proofErr w:type="spellEnd"/>
      <w:r w:rsidRPr="00DA40AF">
        <w:rPr>
          <w:rFonts w:ascii="Arial" w:hAnsi="Arial" w:cs="Arial"/>
        </w:rPr>
        <w:t xml:space="preserve">) </w:t>
      </w:r>
      <w:proofErr w:type="spellStart"/>
      <w:r w:rsidRPr="00DA40AF">
        <w:rPr>
          <w:rFonts w:ascii="Arial" w:hAnsi="Arial" w:cs="Arial"/>
        </w:rPr>
        <w:t>samouprave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prijedlog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financijskog</w:t>
      </w:r>
      <w:proofErr w:type="spellEnd"/>
      <w:r w:rsidRPr="00DA40AF">
        <w:rPr>
          <w:rFonts w:ascii="Arial" w:hAnsi="Arial" w:cs="Arial"/>
        </w:rPr>
        <w:t xml:space="preserve"> plana </w:t>
      </w:r>
      <w:proofErr w:type="spellStart"/>
      <w:r w:rsidRPr="00DA40AF">
        <w:rPr>
          <w:rFonts w:ascii="Arial" w:hAnsi="Arial" w:cs="Arial"/>
        </w:rPr>
        <w:t>izrađuju</w:t>
      </w:r>
      <w:proofErr w:type="spellEnd"/>
      <w:r w:rsidRPr="00DA40AF">
        <w:rPr>
          <w:rFonts w:ascii="Arial" w:hAnsi="Arial" w:cs="Arial"/>
        </w:rPr>
        <w:t xml:space="preserve"> po </w:t>
      </w:r>
      <w:proofErr w:type="spellStart"/>
      <w:r w:rsidRPr="00DA40AF">
        <w:rPr>
          <w:rFonts w:ascii="Arial" w:hAnsi="Arial" w:cs="Arial"/>
        </w:rPr>
        <w:t>programskoj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ekonomskoj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klasifikaciji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po </w:t>
      </w:r>
      <w:proofErr w:type="spellStart"/>
      <w:r w:rsidRPr="00DA40AF">
        <w:rPr>
          <w:rFonts w:ascii="Arial" w:hAnsi="Arial" w:cs="Arial"/>
        </w:rPr>
        <w:t>izvorima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financiranja</w:t>
      </w:r>
      <w:proofErr w:type="spellEnd"/>
      <w:r w:rsidRPr="00DA40AF">
        <w:rPr>
          <w:rFonts w:ascii="Arial" w:hAnsi="Arial" w:cs="Arial"/>
        </w:rPr>
        <w:t>.</w:t>
      </w:r>
    </w:p>
    <w:p w14:paraId="26305E67" w14:textId="77777777" w:rsidR="00DA40AF" w:rsidRPr="00DA40AF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4" w:hanging="426"/>
        <w:contextualSpacing w:val="0"/>
        <w:jc w:val="both"/>
        <w:rPr>
          <w:rFonts w:ascii="Arial" w:hAnsi="Arial" w:cs="Arial"/>
        </w:rPr>
      </w:pPr>
      <w:r w:rsidRPr="00DA40AF">
        <w:rPr>
          <w:rFonts w:ascii="Arial" w:hAnsi="Arial" w:cs="Arial"/>
        </w:rPr>
        <w:t xml:space="preserve">Program je </w:t>
      </w:r>
      <w:proofErr w:type="spellStart"/>
      <w:r w:rsidRPr="00DA40AF">
        <w:rPr>
          <w:rFonts w:ascii="Arial" w:hAnsi="Arial" w:cs="Arial"/>
        </w:rPr>
        <w:t>skup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neovisnih</w:t>
      </w:r>
      <w:proofErr w:type="spellEnd"/>
      <w:r w:rsidRPr="00DA40AF">
        <w:rPr>
          <w:rFonts w:ascii="Arial" w:hAnsi="Arial" w:cs="Arial"/>
        </w:rPr>
        <w:t xml:space="preserve">, </w:t>
      </w:r>
      <w:proofErr w:type="spellStart"/>
      <w:r w:rsidRPr="00DA40AF">
        <w:rPr>
          <w:rFonts w:ascii="Arial" w:hAnsi="Arial" w:cs="Arial"/>
        </w:rPr>
        <w:t>usko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povezanih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aktivnosti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projekata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usmjerenih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ispunjenju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zajedničkog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cilja</w:t>
      </w:r>
      <w:proofErr w:type="spellEnd"/>
      <w:r w:rsidRPr="00DA40AF">
        <w:rPr>
          <w:rFonts w:ascii="Arial" w:hAnsi="Arial" w:cs="Arial"/>
        </w:rPr>
        <w:t xml:space="preserve">. Program se </w:t>
      </w:r>
      <w:proofErr w:type="spellStart"/>
      <w:r w:rsidRPr="00DA40AF">
        <w:rPr>
          <w:rFonts w:ascii="Arial" w:hAnsi="Arial" w:cs="Arial"/>
        </w:rPr>
        <w:t>sastoji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od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jedne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ili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više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aktivnosti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>/</w:t>
      </w:r>
      <w:proofErr w:type="spellStart"/>
      <w:r w:rsidRPr="00DA40AF">
        <w:rPr>
          <w:rFonts w:ascii="Arial" w:hAnsi="Arial" w:cs="Arial"/>
        </w:rPr>
        <w:t>ili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projekata</w:t>
      </w:r>
      <w:proofErr w:type="spellEnd"/>
      <w:r w:rsidRPr="00DA40AF">
        <w:rPr>
          <w:rFonts w:ascii="Arial" w:hAnsi="Arial" w:cs="Arial"/>
        </w:rPr>
        <w:t xml:space="preserve">, </w:t>
      </w:r>
      <w:proofErr w:type="gramStart"/>
      <w:r w:rsidRPr="00DA40AF">
        <w:rPr>
          <w:rFonts w:ascii="Arial" w:hAnsi="Arial" w:cs="Arial"/>
        </w:rPr>
        <w:t>a</w:t>
      </w:r>
      <w:proofErr w:type="gram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aktivnost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projekt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pripadaju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samo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jednom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programu</w:t>
      </w:r>
      <w:proofErr w:type="spellEnd"/>
      <w:r w:rsidRPr="00DA40AF">
        <w:rPr>
          <w:rFonts w:ascii="Arial" w:hAnsi="Arial" w:cs="Arial"/>
        </w:rPr>
        <w:t>.</w:t>
      </w:r>
    </w:p>
    <w:p w14:paraId="28A25F74" w14:textId="77777777" w:rsidR="00DA40AF" w:rsidRPr="00DA40AF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1" w:hanging="426"/>
        <w:contextualSpacing w:val="0"/>
        <w:jc w:val="both"/>
        <w:rPr>
          <w:rFonts w:ascii="Arial" w:hAnsi="Arial" w:cs="Arial"/>
        </w:rPr>
      </w:pPr>
      <w:proofErr w:type="spellStart"/>
      <w:r w:rsidRPr="00DA40AF">
        <w:rPr>
          <w:rFonts w:ascii="Arial" w:hAnsi="Arial" w:cs="Arial"/>
        </w:rPr>
        <w:t>Sukladno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odredbama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članka</w:t>
      </w:r>
      <w:proofErr w:type="spellEnd"/>
      <w:r w:rsidRPr="00DA40AF">
        <w:rPr>
          <w:rFonts w:ascii="Arial" w:hAnsi="Arial" w:cs="Arial"/>
        </w:rPr>
        <w:t xml:space="preserve"> 9. </w:t>
      </w:r>
      <w:proofErr w:type="spellStart"/>
      <w:r w:rsidRPr="00DA40AF">
        <w:rPr>
          <w:rFonts w:ascii="Arial" w:hAnsi="Arial" w:cs="Arial"/>
        </w:rPr>
        <w:t>Pravilnika</w:t>
      </w:r>
      <w:proofErr w:type="spellEnd"/>
      <w:r w:rsidRPr="00DA40AF">
        <w:rPr>
          <w:rFonts w:ascii="Arial" w:hAnsi="Arial" w:cs="Arial"/>
        </w:rPr>
        <w:t xml:space="preserve"> o </w:t>
      </w:r>
      <w:proofErr w:type="spellStart"/>
      <w:r w:rsidRPr="00DA40AF">
        <w:rPr>
          <w:rFonts w:ascii="Arial" w:hAnsi="Arial" w:cs="Arial"/>
        </w:rPr>
        <w:t>proračunskim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klasifikacijama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sve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aktivnosti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projekte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razdjel</w:t>
      </w:r>
      <w:proofErr w:type="spellEnd"/>
      <w:r w:rsidRPr="00DA40AF">
        <w:rPr>
          <w:rFonts w:ascii="Arial" w:hAnsi="Arial" w:cs="Arial"/>
        </w:rPr>
        <w:t xml:space="preserve"> (</w:t>
      </w:r>
      <w:proofErr w:type="spellStart"/>
      <w:r w:rsidRPr="00DA40AF">
        <w:rPr>
          <w:rFonts w:ascii="Arial" w:hAnsi="Arial" w:cs="Arial"/>
        </w:rPr>
        <w:t>primjerice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nadležno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upravno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tijelo</w:t>
      </w:r>
      <w:proofErr w:type="spellEnd"/>
      <w:r w:rsidRPr="00DA40AF">
        <w:rPr>
          <w:rFonts w:ascii="Arial" w:hAnsi="Arial" w:cs="Arial"/>
        </w:rPr>
        <w:t xml:space="preserve">) </w:t>
      </w:r>
      <w:proofErr w:type="spellStart"/>
      <w:r w:rsidRPr="00DA40AF">
        <w:rPr>
          <w:rFonts w:ascii="Arial" w:hAnsi="Arial" w:cs="Arial"/>
        </w:rPr>
        <w:t>utvrđuje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grupira</w:t>
      </w:r>
      <w:proofErr w:type="spellEnd"/>
      <w:r w:rsidRPr="00DA40AF">
        <w:rPr>
          <w:rFonts w:ascii="Arial" w:hAnsi="Arial" w:cs="Arial"/>
        </w:rPr>
        <w:t xml:space="preserve"> u </w:t>
      </w:r>
      <w:proofErr w:type="spellStart"/>
      <w:r w:rsidRPr="00DA40AF">
        <w:rPr>
          <w:rFonts w:ascii="Arial" w:hAnsi="Arial" w:cs="Arial"/>
        </w:rPr>
        <w:t>programe</w:t>
      </w:r>
      <w:proofErr w:type="spellEnd"/>
      <w:r w:rsidRPr="00DA40AF">
        <w:rPr>
          <w:rFonts w:ascii="Arial" w:hAnsi="Arial" w:cs="Arial"/>
        </w:rPr>
        <w:t xml:space="preserve">, a </w:t>
      </w:r>
      <w:proofErr w:type="spellStart"/>
      <w:r w:rsidRPr="00DA40AF">
        <w:rPr>
          <w:rFonts w:ascii="Arial" w:hAnsi="Arial" w:cs="Arial"/>
        </w:rPr>
        <w:t>zatim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programe</w:t>
      </w:r>
      <w:proofErr w:type="spellEnd"/>
      <w:r w:rsidRPr="00DA40AF">
        <w:rPr>
          <w:rFonts w:ascii="Arial" w:hAnsi="Arial" w:cs="Arial"/>
        </w:rPr>
        <w:t xml:space="preserve">, </w:t>
      </w:r>
      <w:proofErr w:type="spellStart"/>
      <w:r w:rsidRPr="00DA40AF">
        <w:rPr>
          <w:rFonts w:ascii="Arial" w:hAnsi="Arial" w:cs="Arial"/>
        </w:rPr>
        <w:t>aktivnosti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projekte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prijavljuje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upravnom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tijelu</w:t>
      </w:r>
      <w:proofErr w:type="spellEnd"/>
      <w:r w:rsidRPr="00DA40AF">
        <w:rPr>
          <w:rFonts w:ascii="Arial" w:hAnsi="Arial" w:cs="Arial"/>
        </w:rPr>
        <w:t xml:space="preserve"> za </w:t>
      </w:r>
      <w:proofErr w:type="spellStart"/>
      <w:r w:rsidRPr="00DA40AF">
        <w:rPr>
          <w:rFonts w:ascii="Arial" w:hAnsi="Arial" w:cs="Arial"/>
        </w:rPr>
        <w:t>financije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jedinice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lokalne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područne</w:t>
      </w:r>
      <w:proofErr w:type="spellEnd"/>
      <w:r w:rsidRPr="00DA40AF">
        <w:rPr>
          <w:rFonts w:ascii="Arial" w:hAnsi="Arial" w:cs="Arial"/>
        </w:rPr>
        <w:t xml:space="preserve"> (</w:t>
      </w:r>
      <w:proofErr w:type="spellStart"/>
      <w:r w:rsidRPr="00DA40AF">
        <w:rPr>
          <w:rFonts w:ascii="Arial" w:hAnsi="Arial" w:cs="Arial"/>
        </w:rPr>
        <w:t>regionalne</w:t>
      </w:r>
      <w:proofErr w:type="spellEnd"/>
      <w:r w:rsidRPr="00DA40AF">
        <w:rPr>
          <w:rFonts w:ascii="Arial" w:hAnsi="Arial" w:cs="Arial"/>
        </w:rPr>
        <w:t xml:space="preserve">) </w:t>
      </w:r>
      <w:proofErr w:type="spellStart"/>
      <w:r w:rsidRPr="00DA40AF">
        <w:rPr>
          <w:rFonts w:ascii="Arial" w:hAnsi="Arial" w:cs="Arial"/>
        </w:rPr>
        <w:t>samouprave</w:t>
      </w:r>
      <w:proofErr w:type="spellEnd"/>
      <w:r w:rsidRPr="00DA40AF">
        <w:rPr>
          <w:rFonts w:ascii="Arial" w:hAnsi="Arial" w:cs="Arial"/>
        </w:rPr>
        <w:t>.</w:t>
      </w:r>
    </w:p>
    <w:p w14:paraId="78349AF0" w14:textId="77777777" w:rsidR="00DA40AF" w:rsidRPr="00DA40AF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1" w:hanging="426"/>
        <w:contextualSpacing w:val="0"/>
        <w:jc w:val="both"/>
        <w:rPr>
          <w:rFonts w:ascii="Arial" w:hAnsi="Arial" w:cs="Arial"/>
        </w:rPr>
      </w:pPr>
      <w:r w:rsidRPr="00DA40AF">
        <w:rPr>
          <w:rFonts w:ascii="Arial" w:hAnsi="Arial" w:cs="Arial"/>
        </w:rPr>
        <w:t xml:space="preserve">O </w:t>
      </w:r>
      <w:proofErr w:type="spellStart"/>
      <w:r w:rsidRPr="00DA40AF">
        <w:rPr>
          <w:rFonts w:ascii="Arial" w:hAnsi="Arial" w:cs="Arial"/>
        </w:rPr>
        <w:t>utvrđenoj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programskoj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klasifikaciji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razdjel</w:t>
      </w:r>
      <w:proofErr w:type="spellEnd"/>
      <w:r w:rsidRPr="00DA40AF">
        <w:rPr>
          <w:rFonts w:ascii="Arial" w:hAnsi="Arial" w:cs="Arial"/>
        </w:rPr>
        <w:t xml:space="preserve"> (</w:t>
      </w:r>
      <w:proofErr w:type="spellStart"/>
      <w:r w:rsidRPr="00DA40AF">
        <w:rPr>
          <w:rFonts w:ascii="Arial" w:hAnsi="Arial" w:cs="Arial"/>
        </w:rPr>
        <w:t>nadležno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upravno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tijelo</w:t>
      </w:r>
      <w:proofErr w:type="spellEnd"/>
      <w:r w:rsidRPr="00DA40AF">
        <w:rPr>
          <w:rFonts w:ascii="Arial" w:hAnsi="Arial" w:cs="Arial"/>
        </w:rPr>
        <w:t xml:space="preserve">) </w:t>
      </w:r>
      <w:proofErr w:type="spellStart"/>
      <w:r w:rsidRPr="00DA40AF">
        <w:rPr>
          <w:rFonts w:ascii="Arial" w:hAnsi="Arial" w:cs="Arial"/>
        </w:rPr>
        <w:t>obavještava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proračunskog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korisnika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iz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svoje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nadležnosti</w:t>
      </w:r>
      <w:proofErr w:type="spellEnd"/>
      <w:r w:rsidRPr="00DA40AF">
        <w:rPr>
          <w:rFonts w:ascii="Arial" w:hAnsi="Arial" w:cs="Arial"/>
        </w:rPr>
        <w:t xml:space="preserve">, a </w:t>
      </w:r>
      <w:proofErr w:type="spellStart"/>
      <w:r w:rsidRPr="00DA40AF">
        <w:rPr>
          <w:rFonts w:ascii="Arial" w:hAnsi="Arial" w:cs="Arial"/>
        </w:rPr>
        <w:t>proračunski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korisnici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mogu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aktivnosti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projekte</w:t>
      </w:r>
      <w:proofErr w:type="spellEnd"/>
      <w:r w:rsidRPr="00DA40AF">
        <w:rPr>
          <w:rFonts w:ascii="Arial" w:hAnsi="Arial" w:cs="Arial"/>
        </w:rPr>
        <w:t xml:space="preserve">, </w:t>
      </w:r>
      <w:proofErr w:type="spellStart"/>
      <w:r w:rsidRPr="00DA40AF">
        <w:rPr>
          <w:rFonts w:ascii="Arial" w:hAnsi="Arial" w:cs="Arial"/>
        </w:rPr>
        <w:t>iz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svoje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nadležnosti</w:t>
      </w:r>
      <w:proofErr w:type="spellEnd"/>
      <w:r w:rsidRPr="00DA40AF">
        <w:rPr>
          <w:rFonts w:ascii="Arial" w:hAnsi="Arial" w:cs="Arial"/>
        </w:rPr>
        <w:t xml:space="preserve">, </w:t>
      </w:r>
      <w:proofErr w:type="spellStart"/>
      <w:r w:rsidRPr="00DA40AF">
        <w:rPr>
          <w:rFonts w:ascii="Arial" w:hAnsi="Arial" w:cs="Arial"/>
        </w:rPr>
        <w:t>dodatno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razraditi</w:t>
      </w:r>
      <w:proofErr w:type="spellEnd"/>
      <w:r w:rsidRPr="00DA40AF">
        <w:rPr>
          <w:rFonts w:ascii="Arial" w:hAnsi="Arial" w:cs="Arial"/>
        </w:rPr>
        <w:t xml:space="preserve"> za </w:t>
      </w:r>
      <w:proofErr w:type="spellStart"/>
      <w:r w:rsidRPr="00DA40AF">
        <w:rPr>
          <w:rFonts w:ascii="Arial" w:hAnsi="Arial" w:cs="Arial"/>
        </w:rPr>
        <w:t>svoje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potrebe</w:t>
      </w:r>
      <w:proofErr w:type="spellEnd"/>
      <w:r w:rsidRPr="00DA40AF">
        <w:rPr>
          <w:rFonts w:ascii="Arial" w:hAnsi="Arial" w:cs="Arial"/>
        </w:rPr>
        <w:t>.</w:t>
      </w:r>
    </w:p>
    <w:p w14:paraId="1528D310" w14:textId="77777777" w:rsidR="00DA40AF" w:rsidRPr="00DA40AF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2" w:hanging="426"/>
        <w:contextualSpacing w:val="0"/>
        <w:jc w:val="both"/>
        <w:rPr>
          <w:rFonts w:ascii="Arial" w:hAnsi="Arial" w:cs="Arial"/>
        </w:rPr>
      </w:pPr>
      <w:proofErr w:type="spellStart"/>
      <w:r w:rsidRPr="00DA40AF">
        <w:rPr>
          <w:rFonts w:ascii="Arial" w:hAnsi="Arial" w:cs="Arial"/>
        </w:rPr>
        <w:t>Sukladno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članku</w:t>
      </w:r>
      <w:proofErr w:type="spellEnd"/>
      <w:r w:rsidRPr="00DA40AF">
        <w:rPr>
          <w:rFonts w:ascii="Arial" w:hAnsi="Arial" w:cs="Arial"/>
        </w:rPr>
        <w:t xml:space="preserve"> 13. </w:t>
      </w:r>
      <w:proofErr w:type="spellStart"/>
      <w:r w:rsidRPr="00DA40AF">
        <w:rPr>
          <w:rFonts w:ascii="Arial" w:hAnsi="Arial" w:cs="Arial"/>
        </w:rPr>
        <w:t>navedenoga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Pravilnika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upravno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tijelo</w:t>
      </w:r>
      <w:proofErr w:type="spellEnd"/>
      <w:r w:rsidRPr="00DA40AF">
        <w:rPr>
          <w:rFonts w:ascii="Arial" w:hAnsi="Arial" w:cs="Arial"/>
        </w:rPr>
        <w:t xml:space="preserve"> za </w:t>
      </w:r>
      <w:proofErr w:type="spellStart"/>
      <w:r w:rsidRPr="00DA40AF">
        <w:rPr>
          <w:rFonts w:ascii="Arial" w:hAnsi="Arial" w:cs="Arial"/>
        </w:rPr>
        <w:t>financije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jedinice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lokalne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područne</w:t>
      </w:r>
      <w:proofErr w:type="spellEnd"/>
      <w:r w:rsidRPr="00DA40AF">
        <w:rPr>
          <w:rFonts w:ascii="Arial" w:hAnsi="Arial" w:cs="Arial"/>
        </w:rPr>
        <w:t xml:space="preserve"> (</w:t>
      </w:r>
      <w:proofErr w:type="spellStart"/>
      <w:r w:rsidRPr="00DA40AF">
        <w:rPr>
          <w:rFonts w:ascii="Arial" w:hAnsi="Arial" w:cs="Arial"/>
        </w:rPr>
        <w:t>regionalne</w:t>
      </w:r>
      <w:proofErr w:type="spellEnd"/>
      <w:r w:rsidRPr="00DA40AF">
        <w:rPr>
          <w:rFonts w:ascii="Arial" w:hAnsi="Arial" w:cs="Arial"/>
        </w:rPr>
        <w:t xml:space="preserve">) </w:t>
      </w:r>
      <w:proofErr w:type="spellStart"/>
      <w:r w:rsidRPr="00DA40AF">
        <w:rPr>
          <w:rFonts w:ascii="Arial" w:hAnsi="Arial" w:cs="Arial"/>
        </w:rPr>
        <w:t>samouprave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dodjeljuje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oznake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programa</w:t>
      </w:r>
      <w:proofErr w:type="spellEnd"/>
      <w:r w:rsidRPr="00DA40AF">
        <w:rPr>
          <w:rFonts w:ascii="Arial" w:hAnsi="Arial" w:cs="Arial"/>
        </w:rPr>
        <w:t xml:space="preserve">, </w:t>
      </w:r>
      <w:proofErr w:type="spellStart"/>
      <w:r w:rsidRPr="00DA40AF">
        <w:rPr>
          <w:rFonts w:ascii="Arial" w:hAnsi="Arial" w:cs="Arial"/>
        </w:rPr>
        <w:t>aktivnosti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projekata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planiranih</w:t>
      </w:r>
      <w:proofErr w:type="spellEnd"/>
      <w:r w:rsidRPr="00DA40AF">
        <w:rPr>
          <w:rFonts w:ascii="Arial" w:hAnsi="Arial" w:cs="Arial"/>
        </w:rPr>
        <w:t xml:space="preserve"> u </w:t>
      </w:r>
      <w:proofErr w:type="spellStart"/>
      <w:r w:rsidRPr="00DA40AF">
        <w:rPr>
          <w:rFonts w:ascii="Arial" w:hAnsi="Arial" w:cs="Arial"/>
        </w:rPr>
        <w:t>prijedlogu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financijskih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planova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proračunskih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izvanproračunskih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korisnika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iz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svoje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nadležnosti</w:t>
      </w:r>
      <w:proofErr w:type="spellEnd"/>
      <w:r w:rsidRPr="00DA40AF">
        <w:rPr>
          <w:rFonts w:ascii="Arial" w:hAnsi="Arial" w:cs="Arial"/>
        </w:rPr>
        <w:t>.</w:t>
      </w:r>
    </w:p>
    <w:p w14:paraId="5A35D99D" w14:textId="77777777" w:rsidR="00DA40AF" w:rsidRPr="00DA40AF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4" w:hanging="426"/>
        <w:contextualSpacing w:val="0"/>
        <w:jc w:val="both"/>
        <w:rPr>
          <w:rFonts w:ascii="Arial" w:hAnsi="Arial" w:cs="Arial"/>
        </w:rPr>
      </w:pPr>
      <w:proofErr w:type="spellStart"/>
      <w:r w:rsidRPr="00DA40AF">
        <w:rPr>
          <w:rFonts w:ascii="Arial" w:hAnsi="Arial" w:cs="Arial"/>
        </w:rPr>
        <w:t>Sukladno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članku</w:t>
      </w:r>
      <w:proofErr w:type="spellEnd"/>
      <w:r w:rsidRPr="00DA40AF">
        <w:rPr>
          <w:rFonts w:ascii="Arial" w:hAnsi="Arial" w:cs="Arial"/>
        </w:rPr>
        <w:t xml:space="preserve"> 19. </w:t>
      </w:r>
      <w:proofErr w:type="spellStart"/>
      <w:r w:rsidRPr="00DA40AF">
        <w:rPr>
          <w:rFonts w:ascii="Arial" w:hAnsi="Arial" w:cs="Arial"/>
        </w:rPr>
        <w:t>stavku</w:t>
      </w:r>
      <w:proofErr w:type="spellEnd"/>
      <w:r w:rsidRPr="00DA40AF">
        <w:rPr>
          <w:rFonts w:ascii="Arial" w:hAnsi="Arial" w:cs="Arial"/>
        </w:rPr>
        <w:t xml:space="preserve"> 3. </w:t>
      </w:r>
      <w:proofErr w:type="spellStart"/>
      <w:r w:rsidRPr="00DA40AF">
        <w:rPr>
          <w:rFonts w:ascii="Arial" w:hAnsi="Arial" w:cs="Arial"/>
        </w:rPr>
        <w:t>Pravilnika</w:t>
      </w:r>
      <w:proofErr w:type="spellEnd"/>
      <w:r w:rsidRPr="00DA40AF">
        <w:rPr>
          <w:rFonts w:ascii="Arial" w:hAnsi="Arial" w:cs="Arial"/>
        </w:rPr>
        <w:t xml:space="preserve"> o </w:t>
      </w:r>
      <w:proofErr w:type="spellStart"/>
      <w:r w:rsidRPr="00DA40AF">
        <w:rPr>
          <w:rFonts w:ascii="Arial" w:hAnsi="Arial" w:cs="Arial"/>
        </w:rPr>
        <w:t>proračunskim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klasifikacijama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upravno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tijelo</w:t>
      </w:r>
      <w:proofErr w:type="spellEnd"/>
      <w:r w:rsidRPr="00DA40AF">
        <w:rPr>
          <w:rFonts w:ascii="Arial" w:hAnsi="Arial" w:cs="Arial"/>
        </w:rPr>
        <w:t xml:space="preserve"> za </w:t>
      </w:r>
      <w:proofErr w:type="spellStart"/>
      <w:r w:rsidRPr="00DA40AF">
        <w:rPr>
          <w:rFonts w:ascii="Arial" w:hAnsi="Arial" w:cs="Arial"/>
        </w:rPr>
        <w:t>financije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jedinice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lokalne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područne</w:t>
      </w:r>
      <w:proofErr w:type="spellEnd"/>
      <w:r w:rsidRPr="00DA40AF">
        <w:rPr>
          <w:rFonts w:ascii="Arial" w:hAnsi="Arial" w:cs="Arial"/>
        </w:rPr>
        <w:t xml:space="preserve"> (</w:t>
      </w:r>
      <w:proofErr w:type="spellStart"/>
      <w:r w:rsidRPr="00DA40AF">
        <w:rPr>
          <w:rFonts w:ascii="Arial" w:hAnsi="Arial" w:cs="Arial"/>
        </w:rPr>
        <w:t>regionalne</w:t>
      </w:r>
      <w:proofErr w:type="spellEnd"/>
      <w:r w:rsidRPr="00DA40AF">
        <w:rPr>
          <w:rFonts w:ascii="Arial" w:hAnsi="Arial" w:cs="Arial"/>
        </w:rPr>
        <w:t xml:space="preserve">) </w:t>
      </w:r>
      <w:proofErr w:type="spellStart"/>
      <w:r w:rsidRPr="00DA40AF">
        <w:rPr>
          <w:rFonts w:ascii="Arial" w:hAnsi="Arial" w:cs="Arial"/>
        </w:rPr>
        <w:t>samouprave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određuje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nazive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brojčane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oznake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druge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razine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izvora</w:t>
      </w:r>
      <w:proofErr w:type="spellEnd"/>
      <w:r w:rsidRPr="00DA40AF">
        <w:rPr>
          <w:rFonts w:ascii="Arial" w:hAnsi="Arial" w:cs="Arial"/>
        </w:rPr>
        <w:t xml:space="preserve"> </w:t>
      </w:r>
      <w:proofErr w:type="spellStart"/>
      <w:r w:rsidRPr="00DA40AF">
        <w:rPr>
          <w:rFonts w:ascii="Arial" w:hAnsi="Arial" w:cs="Arial"/>
        </w:rPr>
        <w:t>financiranja</w:t>
      </w:r>
      <w:proofErr w:type="spellEnd"/>
      <w:r w:rsidRPr="00DA40AF">
        <w:rPr>
          <w:rFonts w:ascii="Arial" w:hAnsi="Arial" w:cs="Arial"/>
        </w:rPr>
        <w:t>.</w:t>
      </w:r>
    </w:p>
    <w:p w14:paraId="037D8AF3" w14:textId="77777777" w:rsidR="00DA40AF" w:rsidRPr="0047329C" w:rsidRDefault="00DA40AF" w:rsidP="00D3270B">
      <w:pPr>
        <w:pStyle w:val="Obinitekst"/>
        <w:rPr>
          <w:rFonts w:ascii="Arial" w:hAnsi="Arial" w:cs="Arial"/>
          <w:sz w:val="22"/>
          <w:szCs w:val="22"/>
        </w:rPr>
      </w:pPr>
    </w:p>
    <w:p w14:paraId="2396181A" w14:textId="383011BB" w:rsidR="0047329C" w:rsidRPr="0047329C" w:rsidRDefault="00435FAE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Prorač</w:t>
      </w:r>
      <w:r w:rsidR="0047329C" w:rsidRPr="0047329C">
        <w:rPr>
          <w:rFonts w:ascii="Arial" w:hAnsi="Arial" w:cs="Arial"/>
          <w:sz w:val="22"/>
          <w:szCs w:val="22"/>
        </w:rPr>
        <w:t>unski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korisnik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jedinice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lokalne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podru</w:t>
      </w:r>
      <w:r w:rsidR="00DC7ED8">
        <w:rPr>
          <w:rFonts w:ascii="Arial" w:hAnsi="Arial" w:cs="Arial"/>
          <w:sz w:val="22"/>
          <w:szCs w:val="22"/>
        </w:rPr>
        <w:t>č</w:t>
      </w:r>
      <w:r w:rsidR="0047329C" w:rsidRPr="0047329C">
        <w:rPr>
          <w:rFonts w:ascii="Arial" w:hAnsi="Arial" w:cs="Arial"/>
          <w:sz w:val="22"/>
          <w:szCs w:val="22"/>
        </w:rPr>
        <w:t>ne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regionalne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samo</w:t>
      </w:r>
      <w:r w:rsidR="005565A0">
        <w:rPr>
          <w:rFonts w:ascii="Arial" w:hAnsi="Arial" w:cs="Arial"/>
          <w:sz w:val="22"/>
          <w:szCs w:val="22"/>
        </w:rPr>
        <w:t>uprave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rashode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i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5A0">
        <w:rPr>
          <w:rFonts w:ascii="Arial" w:hAnsi="Arial" w:cs="Arial"/>
          <w:sz w:val="22"/>
          <w:szCs w:val="22"/>
        </w:rPr>
        <w:t>izdatke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za 20</w:t>
      </w:r>
      <w:r w:rsidR="005404CE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2</w:t>
      </w:r>
      <w:r w:rsidR="0047329C" w:rsidRPr="0047329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godinu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pl</w:t>
      </w:r>
      <w:r>
        <w:rPr>
          <w:rFonts w:ascii="Arial" w:hAnsi="Arial" w:cs="Arial"/>
          <w:sz w:val="22"/>
          <w:szCs w:val="22"/>
        </w:rPr>
        <w:t>anira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podskupine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treća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rač</w:t>
      </w:r>
      <w:r w:rsidR="005565A0">
        <w:rPr>
          <w:rFonts w:ascii="Arial" w:hAnsi="Arial" w:cs="Arial"/>
          <w:sz w:val="22"/>
          <w:szCs w:val="22"/>
        </w:rPr>
        <w:t>unskog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plana), a za 20</w:t>
      </w:r>
      <w:r w:rsidR="005404CE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3</w:t>
      </w:r>
      <w:r w:rsidR="005565A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565A0">
        <w:rPr>
          <w:rFonts w:ascii="Arial" w:hAnsi="Arial" w:cs="Arial"/>
          <w:sz w:val="22"/>
          <w:szCs w:val="22"/>
        </w:rPr>
        <w:t>i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20</w:t>
      </w:r>
      <w:r w:rsidR="005404CE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4</w:t>
      </w:r>
      <w:r w:rsidR="0047329C" w:rsidRPr="0047329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na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skupine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druga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rač</w:t>
      </w:r>
      <w:r w:rsidR="0047329C" w:rsidRPr="0047329C">
        <w:rPr>
          <w:rFonts w:ascii="Arial" w:hAnsi="Arial" w:cs="Arial"/>
          <w:sz w:val="22"/>
          <w:szCs w:val="22"/>
        </w:rPr>
        <w:t>unskog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plana). </w:t>
      </w:r>
    </w:p>
    <w:p w14:paraId="502758A3" w14:textId="77777777" w:rsidR="0047329C" w:rsidRPr="0047329C" w:rsidRDefault="0047329C" w:rsidP="00C33653">
      <w:pPr>
        <w:pStyle w:val="Obinitekst"/>
        <w:ind w:firstLine="567"/>
        <w:rPr>
          <w:rFonts w:ascii="Arial" w:hAnsi="Arial" w:cs="Arial"/>
          <w:sz w:val="22"/>
          <w:szCs w:val="22"/>
        </w:rPr>
      </w:pPr>
    </w:p>
    <w:p w14:paraId="10805217" w14:textId="52BB615C" w:rsidR="0047329C" w:rsidRPr="0047329C" w:rsidRDefault="00435FAE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Upravna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vijeć</w:t>
      </w:r>
      <w:r w:rsidR="0047329C" w:rsidRPr="0047329C">
        <w:rPr>
          <w:rFonts w:ascii="Arial" w:hAnsi="Arial" w:cs="Arial"/>
          <w:sz w:val="22"/>
          <w:szCs w:val="22"/>
        </w:rPr>
        <w:t>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kolski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odbori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upravljačka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47329C" w:rsidRPr="0047329C">
        <w:rPr>
          <w:rFonts w:ascii="Arial" w:hAnsi="Arial" w:cs="Arial"/>
          <w:sz w:val="22"/>
          <w:szCs w:val="22"/>
        </w:rPr>
        <w:t>unskih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korisnika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jedinica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škole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vrtić</w:t>
      </w:r>
      <w:r w:rsidR="0047329C" w:rsidRPr="0047329C">
        <w:rPr>
          <w:rFonts w:ascii="Arial" w:hAnsi="Arial" w:cs="Arial"/>
          <w:sz w:val="22"/>
          <w:szCs w:val="22"/>
        </w:rPr>
        <w:t>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knjižnice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…)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obvezni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su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usvojiti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financijski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plan do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kraja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godine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kako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bi se od </w:t>
      </w: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siječ</w:t>
      </w:r>
      <w:r w:rsidR="005565A0">
        <w:rPr>
          <w:rFonts w:ascii="Arial" w:hAnsi="Arial" w:cs="Arial"/>
          <w:sz w:val="22"/>
          <w:szCs w:val="22"/>
        </w:rPr>
        <w:t>nja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20</w:t>
      </w:r>
      <w:r w:rsidR="005404CE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2</w:t>
      </w:r>
      <w:r w:rsidR="0047329C" w:rsidRPr="0047329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mogle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preuzimati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izvršavati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nove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29C" w:rsidRPr="0047329C">
        <w:rPr>
          <w:rFonts w:ascii="Arial" w:hAnsi="Arial" w:cs="Arial"/>
          <w:sz w:val="22"/>
          <w:szCs w:val="22"/>
        </w:rPr>
        <w:t>obveze</w:t>
      </w:r>
      <w:proofErr w:type="spellEnd"/>
      <w:r w:rsidR="0047329C" w:rsidRPr="0047329C">
        <w:rPr>
          <w:rFonts w:ascii="Arial" w:hAnsi="Arial" w:cs="Arial"/>
          <w:sz w:val="22"/>
          <w:szCs w:val="22"/>
        </w:rPr>
        <w:t xml:space="preserve">. </w:t>
      </w:r>
    </w:p>
    <w:p w14:paraId="34627518" w14:textId="77777777" w:rsidR="009B5EC8" w:rsidRDefault="009B5EC8" w:rsidP="00D3270B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4032FA60" w14:textId="00448C02" w:rsidR="0047329C" w:rsidRPr="0047329C" w:rsidRDefault="0047329C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47329C">
        <w:rPr>
          <w:rFonts w:ascii="Arial" w:hAnsi="Arial" w:cs="Arial"/>
          <w:sz w:val="22"/>
          <w:szCs w:val="22"/>
        </w:rPr>
        <w:t>Temeljem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zahtjeva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nadležne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lokalne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jedinice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proračunski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korisnik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može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izrađ</w:t>
      </w:r>
      <w:r w:rsidRPr="0047329C">
        <w:rPr>
          <w:rFonts w:ascii="Arial" w:hAnsi="Arial" w:cs="Arial"/>
          <w:sz w:val="22"/>
          <w:szCs w:val="22"/>
        </w:rPr>
        <w:t>ivati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prijedlog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financij</w:t>
      </w:r>
      <w:r w:rsidR="00435FAE">
        <w:rPr>
          <w:rFonts w:ascii="Arial" w:hAnsi="Arial" w:cs="Arial"/>
          <w:sz w:val="22"/>
          <w:szCs w:val="22"/>
        </w:rPr>
        <w:t>skog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="00435FAE">
        <w:rPr>
          <w:rFonts w:ascii="Arial" w:hAnsi="Arial" w:cs="Arial"/>
          <w:sz w:val="22"/>
          <w:szCs w:val="22"/>
        </w:rPr>
        <w:t>na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razini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odjeljka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35FAE">
        <w:rPr>
          <w:rFonts w:ascii="Arial" w:hAnsi="Arial" w:cs="Arial"/>
          <w:sz w:val="22"/>
          <w:szCs w:val="22"/>
        </w:rPr>
        <w:t>četvrta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razina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računskog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plana), </w:t>
      </w:r>
      <w:proofErr w:type="spellStart"/>
      <w:r w:rsidR="00435FAE">
        <w:rPr>
          <w:rFonts w:ascii="Arial" w:hAnsi="Arial" w:cs="Arial"/>
          <w:sz w:val="22"/>
          <w:szCs w:val="22"/>
        </w:rPr>
        <w:t>međ</w:t>
      </w:r>
      <w:r w:rsidRPr="0047329C">
        <w:rPr>
          <w:rFonts w:ascii="Arial" w:hAnsi="Arial" w:cs="Arial"/>
          <w:sz w:val="22"/>
          <w:szCs w:val="22"/>
        </w:rPr>
        <w:t>utim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upravno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vijeć</w:t>
      </w:r>
      <w:r w:rsidRPr="0047329C">
        <w:rPr>
          <w:rFonts w:ascii="Arial" w:hAnsi="Arial" w:cs="Arial"/>
          <w:sz w:val="22"/>
          <w:szCs w:val="22"/>
        </w:rPr>
        <w:t>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ili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drugo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upravljač</w:t>
      </w:r>
      <w:r w:rsidRPr="0047329C">
        <w:rPr>
          <w:rFonts w:ascii="Arial" w:hAnsi="Arial" w:cs="Arial"/>
          <w:sz w:val="22"/>
          <w:szCs w:val="22"/>
        </w:rPr>
        <w:t>ko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tijelo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obvezno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47329C">
        <w:rPr>
          <w:rFonts w:ascii="Arial" w:hAnsi="Arial" w:cs="Arial"/>
          <w:sz w:val="22"/>
          <w:szCs w:val="22"/>
        </w:rPr>
        <w:t>usvojiti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financijski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plan </w:t>
      </w:r>
      <w:proofErr w:type="spellStart"/>
      <w:r w:rsidRPr="0047329C">
        <w:rPr>
          <w:rFonts w:ascii="Arial" w:hAnsi="Arial" w:cs="Arial"/>
          <w:sz w:val="22"/>
          <w:szCs w:val="22"/>
        </w:rPr>
        <w:t>korisnika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435FAE">
        <w:rPr>
          <w:rFonts w:ascii="Arial" w:hAnsi="Arial" w:cs="Arial"/>
          <w:sz w:val="22"/>
          <w:szCs w:val="22"/>
        </w:rPr>
        <w:t>predstavnič</w:t>
      </w:r>
      <w:r w:rsidRPr="0047329C">
        <w:rPr>
          <w:rFonts w:ascii="Arial" w:hAnsi="Arial" w:cs="Arial"/>
          <w:sz w:val="22"/>
          <w:szCs w:val="22"/>
        </w:rPr>
        <w:t>ko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tijelo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prorač</w:t>
      </w:r>
      <w:r w:rsidR="005565A0">
        <w:rPr>
          <w:rFonts w:ascii="Arial" w:hAnsi="Arial" w:cs="Arial"/>
          <w:sz w:val="22"/>
          <w:szCs w:val="22"/>
        </w:rPr>
        <w:t>un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za 20</w:t>
      </w:r>
      <w:r w:rsidR="005404CE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2</w:t>
      </w:r>
      <w:r w:rsidRPr="0047329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7329C">
        <w:rPr>
          <w:rFonts w:ascii="Arial" w:hAnsi="Arial" w:cs="Arial"/>
          <w:sz w:val="22"/>
          <w:szCs w:val="22"/>
        </w:rPr>
        <w:t>godinu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na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razini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podskupine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35FAE">
        <w:rPr>
          <w:rFonts w:ascii="Arial" w:hAnsi="Arial" w:cs="Arial"/>
          <w:sz w:val="22"/>
          <w:szCs w:val="22"/>
        </w:rPr>
        <w:t>treća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razina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rač</w:t>
      </w:r>
      <w:r w:rsidRPr="0047329C">
        <w:rPr>
          <w:rFonts w:ascii="Arial" w:hAnsi="Arial" w:cs="Arial"/>
          <w:sz w:val="22"/>
          <w:szCs w:val="22"/>
        </w:rPr>
        <w:t>uns</w:t>
      </w:r>
      <w:r w:rsidR="005565A0">
        <w:rPr>
          <w:rFonts w:ascii="Arial" w:hAnsi="Arial" w:cs="Arial"/>
          <w:sz w:val="22"/>
          <w:szCs w:val="22"/>
        </w:rPr>
        <w:t>kog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plana), a </w:t>
      </w:r>
      <w:proofErr w:type="spellStart"/>
      <w:r w:rsidR="005565A0">
        <w:rPr>
          <w:rFonts w:ascii="Arial" w:hAnsi="Arial" w:cs="Arial"/>
          <w:sz w:val="22"/>
          <w:szCs w:val="22"/>
        </w:rPr>
        <w:t>projekcije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za 20</w:t>
      </w:r>
      <w:r w:rsidR="005404CE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3</w:t>
      </w:r>
      <w:r w:rsidR="005565A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565A0">
        <w:rPr>
          <w:rFonts w:ascii="Arial" w:hAnsi="Arial" w:cs="Arial"/>
          <w:sz w:val="22"/>
          <w:szCs w:val="22"/>
        </w:rPr>
        <w:t>i</w:t>
      </w:r>
      <w:proofErr w:type="spellEnd"/>
      <w:r w:rsidR="005565A0">
        <w:rPr>
          <w:rFonts w:ascii="Arial" w:hAnsi="Arial" w:cs="Arial"/>
          <w:sz w:val="22"/>
          <w:szCs w:val="22"/>
        </w:rPr>
        <w:t xml:space="preserve"> 20</w:t>
      </w:r>
      <w:r w:rsidR="005404CE">
        <w:rPr>
          <w:rFonts w:ascii="Arial" w:hAnsi="Arial" w:cs="Arial"/>
          <w:sz w:val="22"/>
          <w:szCs w:val="22"/>
        </w:rPr>
        <w:t>2</w:t>
      </w:r>
      <w:r w:rsidR="00DC7ED8">
        <w:rPr>
          <w:rFonts w:ascii="Arial" w:hAnsi="Arial" w:cs="Arial"/>
          <w:sz w:val="22"/>
          <w:szCs w:val="22"/>
        </w:rPr>
        <w:t>4</w:t>
      </w:r>
      <w:r w:rsidRPr="0047329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7329C">
        <w:rPr>
          <w:rFonts w:ascii="Arial" w:hAnsi="Arial" w:cs="Arial"/>
          <w:sz w:val="22"/>
          <w:szCs w:val="22"/>
        </w:rPr>
        <w:t>godinu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na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razini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skupine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35FAE">
        <w:rPr>
          <w:rFonts w:ascii="Arial" w:hAnsi="Arial" w:cs="Arial"/>
          <w:sz w:val="22"/>
          <w:szCs w:val="22"/>
        </w:rPr>
        <w:t>druga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razina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rač</w:t>
      </w:r>
      <w:r w:rsidRPr="0047329C">
        <w:rPr>
          <w:rFonts w:ascii="Arial" w:hAnsi="Arial" w:cs="Arial"/>
          <w:sz w:val="22"/>
          <w:szCs w:val="22"/>
        </w:rPr>
        <w:t>unskog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plana). </w:t>
      </w:r>
    </w:p>
    <w:p w14:paraId="7EBC1AD9" w14:textId="77777777" w:rsidR="0047329C" w:rsidRPr="0047329C" w:rsidRDefault="0047329C" w:rsidP="00435FAE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115EFF34" w14:textId="77777777" w:rsidR="00A52C89" w:rsidRPr="0047329C" w:rsidRDefault="0047329C" w:rsidP="00802DBF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47329C">
        <w:rPr>
          <w:rFonts w:ascii="Arial" w:hAnsi="Arial" w:cs="Arial"/>
          <w:sz w:val="22"/>
          <w:szCs w:val="22"/>
        </w:rPr>
        <w:t>U</w:t>
      </w:r>
      <w:r w:rsidR="00435FAE">
        <w:rPr>
          <w:rFonts w:ascii="Arial" w:hAnsi="Arial" w:cs="Arial"/>
          <w:sz w:val="22"/>
          <w:szCs w:val="22"/>
        </w:rPr>
        <w:t>pravna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tijela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nadležna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435FAE">
        <w:rPr>
          <w:rFonts w:ascii="Arial" w:hAnsi="Arial" w:cs="Arial"/>
          <w:sz w:val="22"/>
          <w:szCs w:val="22"/>
        </w:rPr>
        <w:t>prorač</w:t>
      </w:r>
      <w:r w:rsidRPr="0047329C">
        <w:rPr>
          <w:rFonts w:ascii="Arial" w:hAnsi="Arial" w:cs="Arial"/>
          <w:sz w:val="22"/>
          <w:szCs w:val="22"/>
        </w:rPr>
        <w:t>unske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korisnike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obvezna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su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planirati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rashode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7329C">
        <w:rPr>
          <w:rFonts w:ascii="Arial" w:hAnsi="Arial" w:cs="Arial"/>
          <w:sz w:val="22"/>
          <w:szCs w:val="22"/>
        </w:rPr>
        <w:t>zaposlene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materijalne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rashode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svojih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korisnika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prorač</w:t>
      </w:r>
      <w:r w:rsidRPr="0047329C">
        <w:rPr>
          <w:rFonts w:ascii="Arial" w:hAnsi="Arial" w:cs="Arial"/>
          <w:sz w:val="22"/>
          <w:szCs w:val="22"/>
        </w:rPr>
        <w:t>una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7329C">
        <w:rPr>
          <w:rFonts w:ascii="Arial" w:hAnsi="Arial" w:cs="Arial"/>
          <w:sz w:val="22"/>
          <w:szCs w:val="22"/>
        </w:rPr>
        <w:t>okviru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skupine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racuna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31 </w:t>
      </w:r>
      <w:proofErr w:type="spellStart"/>
      <w:r w:rsidRPr="0047329C">
        <w:rPr>
          <w:rFonts w:ascii="Arial" w:hAnsi="Arial" w:cs="Arial"/>
          <w:sz w:val="22"/>
          <w:szCs w:val="22"/>
        </w:rPr>
        <w:t>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32, a </w:t>
      </w:r>
      <w:proofErr w:type="spellStart"/>
      <w:r w:rsidRPr="0047329C">
        <w:rPr>
          <w:rFonts w:ascii="Arial" w:hAnsi="Arial" w:cs="Arial"/>
          <w:sz w:val="22"/>
          <w:szCs w:val="22"/>
        </w:rPr>
        <w:t>ne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na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rač</w:t>
      </w:r>
      <w:r w:rsidR="00C33653">
        <w:rPr>
          <w:rFonts w:ascii="Arial" w:hAnsi="Arial" w:cs="Arial"/>
          <w:sz w:val="22"/>
          <w:szCs w:val="22"/>
        </w:rPr>
        <w:t>unima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podskupine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363 (</w:t>
      </w:r>
      <w:proofErr w:type="spellStart"/>
      <w:r w:rsidR="00C33653">
        <w:rPr>
          <w:rFonts w:ascii="Arial" w:hAnsi="Arial" w:cs="Arial"/>
          <w:sz w:val="22"/>
          <w:szCs w:val="22"/>
        </w:rPr>
        <w:t>pomoći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unutar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općeg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prorač</w:t>
      </w:r>
      <w:r w:rsidRPr="0047329C">
        <w:rPr>
          <w:rFonts w:ascii="Arial" w:hAnsi="Arial" w:cs="Arial"/>
          <w:sz w:val="22"/>
          <w:szCs w:val="22"/>
        </w:rPr>
        <w:t>una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47329C">
        <w:rPr>
          <w:rFonts w:ascii="Arial" w:hAnsi="Arial" w:cs="Arial"/>
          <w:sz w:val="22"/>
          <w:szCs w:val="22"/>
        </w:rPr>
        <w:t>niti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7329C">
        <w:rPr>
          <w:rFonts w:ascii="Arial" w:hAnsi="Arial" w:cs="Arial"/>
          <w:sz w:val="22"/>
          <w:szCs w:val="22"/>
        </w:rPr>
        <w:t>okviru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podskupine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381 </w:t>
      </w:r>
      <w:r w:rsidR="00435FAE">
        <w:rPr>
          <w:rFonts w:ascii="Arial" w:hAnsi="Arial" w:cs="Arial"/>
          <w:sz w:val="22"/>
          <w:szCs w:val="22"/>
        </w:rPr>
        <w:t>(</w:t>
      </w:r>
      <w:proofErr w:type="spellStart"/>
      <w:r w:rsidR="00435FAE">
        <w:rPr>
          <w:rFonts w:ascii="Arial" w:hAnsi="Arial" w:cs="Arial"/>
          <w:sz w:val="22"/>
          <w:szCs w:val="22"/>
        </w:rPr>
        <w:t>tekuć</w:t>
      </w:r>
      <w:r w:rsidRPr="0047329C">
        <w:rPr>
          <w:rFonts w:ascii="Arial" w:hAnsi="Arial" w:cs="Arial"/>
          <w:sz w:val="22"/>
          <w:szCs w:val="22"/>
        </w:rPr>
        <w:t>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donacije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47329C">
        <w:rPr>
          <w:rFonts w:ascii="Arial" w:hAnsi="Arial" w:cs="Arial"/>
          <w:sz w:val="22"/>
          <w:szCs w:val="22"/>
        </w:rPr>
        <w:t>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podskupine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382 (</w:t>
      </w:r>
      <w:proofErr w:type="spellStart"/>
      <w:r w:rsidRPr="0047329C">
        <w:rPr>
          <w:rFonts w:ascii="Arial" w:hAnsi="Arial" w:cs="Arial"/>
          <w:sz w:val="22"/>
          <w:szCs w:val="22"/>
        </w:rPr>
        <w:t>kapitalne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donacije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). Na </w:t>
      </w:r>
      <w:proofErr w:type="spellStart"/>
      <w:r w:rsidRPr="0047329C">
        <w:rPr>
          <w:rFonts w:ascii="Arial" w:hAnsi="Arial" w:cs="Arial"/>
          <w:sz w:val="22"/>
          <w:szCs w:val="22"/>
        </w:rPr>
        <w:t>ovim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podskupinama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planiraju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7329C">
        <w:rPr>
          <w:rFonts w:ascii="Arial" w:hAnsi="Arial" w:cs="Arial"/>
          <w:sz w:val="22"/>
          <w:szCs w:val="22"/>
        </w:rPr>
        <w:t>rashodi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7329C">
        <w:rPr>
          <w:rFonts w:ascii="Arial" w:hAnsi="Arial" w:cs="Arial"/>
          <w:sz w:val="22"/>
          <w:szCs w:val="22"/>
        </w:rPr>
        <w:t>financiranje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drugih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subjekta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35FAE">
        <w:rPr>
          <w:rFonts w:ascii="Arial" w:hAnsi="Arial" w:cs="Arial"/>
          <w:sz w:val="22"/>
          <w:szCs w:val="22"/>
        </w:rPr>
        <w:t>neprofitne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organizacije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35FAE">
        <w:rPr>
          <w:rFonts w:ascii="Arial" w:hAnsi="Arial" w:cs="Arial"/>
          <w:sz w:val="22"/>
          <w:szCs w:val="22"/>
        </w:rPr>
        <w:t>trgovač</w:t>
      </w:r>
      <w:r w:rsidRPr="0047329C">
        <w:rPr>
          <w:rFonts w:ascii="Arial" w:hAnsi="Arial" w:cs="Arial"/>
          <w:sz w:val="22"/>
          <w:szCs w:val="22"/>
        </w:rPr>
        <w:t>ka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d</w:t>
      </w:r>
      <w:r w:rsidR="00435FAE">
        <w:rPr>
          <w:rFonts w:ascii="Arial" w:hAnsi="Arial" w:cs="Arial"/>
          <w:sz w:val="22"/>
          <w:szCs w:val="22"/>
        </w:rPr>
        <w:t>ruštva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35FAE">
        <w:rPr>
          <w:rFonts w:ascii="Arial" w:hAnsi="Arial" w:cs="Arial"/>
          <w:sz w:val="22"/>
          <w:szCs w:val="22"/>
        </w:rPr>
        <w:t>fizič</w:t>
      </w:r>
      <w:r w:rsidRPr="0047329C">
        <w:rPr>
          <w:rFonts w:ascii="Arial" w:hAnsi="Arial" w:cs="Arial"/>
          <w:sz w:val="22"/>
          <w:szCs w:val="22"/>
        </w:rPr>
        <w:t>ke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osobe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435FAE">
        <w:rPr>
          <w:rFonts w:ascii="Arial" w:hAnsi="Arial" w:cs="Arial"/>
          <w:sz w:val="22"/>
          <w:szCs w:val="22"/>
        </w:rPr>
        <w:t>koje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prorač</w:t>
      </w:r>
      <w:r w:rsidRPr="0047329C">
        <w:rPr>
          <w:rFonts w:ascii="Arial" w:hAnsi="Arial" w:cs="Arial"/>
          <w:sz w:val="22"/>
          <w:szCs w:val="22"/>
        </w:rPr>
        <w:t>un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financira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na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dobrovoljnoj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bazi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7329C">
        <w:rPr>
          <w:rFonts w:ascii="Arial" w:hAnsi="Arial" w:cs="Arial"/>
          <w:sz w:val="22"/>
          <w:szCs w:val="22"/>
        </w:rPr>
        <w:t>sukladno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svojim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financijskim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mogućnostima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35FAE">
        <w:rPr>
          <w:rFonts w:ascii="Arial" w:hAnsi="Arial" w:cs="Arial"/>
          <w:sz w:val="22"/>
          <w:szCs w:val="22"/>
        </w:rPr>
        <w:t>Takoder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35FAE">
        <w:rPr>
          <w:rFonts w:ascii="Arial" w:hAnsi="Arial" w:cs="Arial"/>
          <w:sz w:val="22"/>
          <w:szCs w:val="22"/>
        </w:rPr>
        <w:t>rač</w:t>
      </w:r>
      <w:r w:rsidRPr="0047329C">
        <w:rPr>
          <w:rFonts w:ascii="Arial" w:hAnsi="Arial" w:cs="Arial"/>
          <w:sz w:val="22"/>
          <w:szCs w:val="22"/>
        </w:rPr>
        <w:t>u</w:t>
      </w:r>
      <w:r w:rsidR="00435FAE">
        <w:rPr>
          <w:rFonts w:ascii="Arial" w:hAnsi="Arial" w:cs="Arial"/>
          <w:sz w:val="22"/>
          <w:szCs w:val="22"/>
        </w:rPr>
        <w:t>n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odjeljka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367 (</w:t>
      </w:r>
      <w:proofErr w:type="spellStart"/>
      <w:r w:rsidR="00435FAE">
        <w:rPr>
          <w:rFonts w:ascii="Arial" w:hAnsi="Arial" w:cs="Arial"/>
          <w:sz w:val="22"/>
          <w:szCs w:val="22"/>
        </w:rPr>
        <w:t>prijenosi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prorač</w:t>
      </w:r>
      <w:r w:rsidRPr="0047329C">
        <w:rPr>
          <w:rFonts w:ascii="Arial" w:hAnsi="Arial" w:cs="Arial"/>
          <w:sz w:val="22"/>
          <w:szCs w:val="22"/>
        </w:rPr>
        <w:t>unskim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korisnicima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iz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nadležnog</w:t>
      </w:r>
      <w:proofErr w:type="spellEnd"/>
      <w:r w:rsidR="00435F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FAE">
        <w:rPr>
          <w:rFonts w:ascii="Arial" w:hAnsi="Arial" w:cs="Arial"/>
          <w:sz w:val="22"/>
          <w:szCs w:val="22"/>
        </w:rPr>
        <w:t>prorač</w:t>
      </w:r>
      <w:r w:rsidRPr="0047329C">
        <w:rPr>
          <w:rFonts w:ascii="Arial" w:hAnsi="Arial" w:cs="Arial"/>
          <w:sz w:val="22"/>
          <w:szCs w:val="22"/>
        </w:rPr>
        <w:t>una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7329C">
        <w:rPr>
          <w:rFonts w:ascii="Arial" w:hAnsi="Arial" w:cs="Arial"/>
          <w:sz w:val="22"/>
          <w:szCs w:val="22"/>
        </w:rPr>
        <w:t>financiranje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redovne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djelatnosti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) ne </w:t>
      </w:r>
      <w:proofErr w:type="spellStart"/>
      <w:r w:rsidRPr="0047329C">
        <w:rPr>
          <w:rFonts w:ascii="Arial" w:hAnsi="Arial" w:cs="Arial"/>
          <w:sz w:val="22"/>
          <w:szCs w:val="22"/>
        </w:rPr>
        <w:t>koristi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47329C">
        <w:rPr>
          <w:rFonts w:ascii="Arial" w:hAnsi="Arial" w:cs="Arial"/>
          <w:sz w:val="22"/>
          <w:szCs w:val="22"/>
        </w:rPr>
        <w:t>procesu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329C">
        <w:rPr>
          <w:rFonts w:ascii="Arial" w:hAnsi="Arial" w:cs="Arial"/>
          <w:sz w:val="22"/>
          <w:szCs w:val="22"/>
        </w:rPr>
        <w:t>planiranja</w:t>
      </w:r>
      <w:proofErr w:type="spellEnd"/>
      <w:r w:rsidRPr="0047329C">
        <w:rPr>
          <w:rFonts w:ascii="Arial" w:hAnsi="Arial" w:cs="Arial"/>
          <w:sz w:val="22"/>
          <w:szCs w:val="22"/>
        </w:rPr>
        <w:t xml:space="preserve">. </w:t>
      </w:r>
    </w:p>
    <w:p w14:paraId="047137D9" w14:textId="77777777" w:rsidR="005404CE" w:rsidRPr="001E4E40" w:rsidRDefault="005404CE" w:rsidP="005404CE">
      <w:pPr>
        <w:pStyle w:val="Odlomakpopisa"/>
        <w:keepNext/>
        <w:ind w:left="1077"/>
        <w:rPr>
          <w:rFonts w:eastAsiaTheme="majorEastAsia" w:cstheme="majorBidi"/>
          <w:bCs/>
        </w:rPr>
      </w:pPr>
    </w:p>
    <w:p w14:paraId="06783E07" w14:textId="12BE5ACE" w:rsidR="005404CE" w:rsidRPr="005404CE" w:rsidRDefault="005404CE" w:rsidP="005404CE">
      <w:pPr>
        <w:ind w:firstLine="709"/>
        <w:jc w:val="both"/>
        <w:rPr>
          <w:rFonts w:ascii="Arial" w:hAnsi="Arial" w:cs="Arial"/>
        </w:rPr>
      </w:pPr>
      <w:proofErr w:type="spellStart"/>
      <w:r w:rsidRPr="005404CE">
        <w:rPr>
          <w:rFonts w:ascii="Arial" w:hAnsi="Arial" w:cs="Arial"/>
        </w:rPr>
        <w:t>Primitak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povrat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kratkoročnih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kredita</w:t>
      </w:r>
      <w:proofErr w:type="spellEnd"/>
      <w:r w:rsidRPr="005404CE">
        <w:rPr>
          <w:rFonts w:ascii="Arial" w:hAnsi="Arial" w:cs="Arial"/>
        </w:rPr>
        <w:t xml:space="preserve"> i </w:t>
      </w:r>
      <w:proofErr w:type="spellStart"/>
      <w:r w:rsidRPr="005404CE">
        <w:rPr>
          <w:rFonts w:ascii="Arial" w:hAnsi="Arial" w:cs="Arial"/>
        </w:rPr>
        <w:t>zajmova</w:t>
      </w:r>
      <w:proofErr w:type="spellEnd"/>
      <w:r w:rsidRPr="005404CE">
        <w:rPr>
          <w:rFonts w:ascii="Arial" w:hAnsi="Arial" w:cs="Arial"/>
        </w:rPr>
        <w:t xml:space="preserve"> koji se </w:t>
      </w:r>
      <w:proofErr w:type="spellStart"/>
      <w:r w:rsidRPr="005404CE">
        <w:rPr>
          <w:rFonts w:ascii="Arial" w:hAnsi="Arial" w:cs="Arial"/>
        </w:rPr>
        <w:t>vraćaju</w:t>
      </w:r>
      <w:proofErr w:type="spellEnd"/>
      <w:r w:rsidRPr="005404CE">
        <w:rPr>
          <w:rFonts w:ascii="Arial" w:hAnsi="Arial" w:cs="Arial"/>
        </w:rPr>
        <w:t xml:space="preserve"> u </w:t>
      </w:r>
      <w:proofErr w:type="spellStart"/>
      <w:r w:rsidRPr="005404CE">
        <w:rPr>
          <w:rFonts w:ascii="Arial" w:hAnsi="Arial" w:cs="Arial"/>
        </w:rPr>
        <w:t>istoj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proračunskoj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godini</w:t>
      </w:r>
      <w:proofErr w:type="spellEnd"/>
      <w:r w:rsidRPr="005404CE">
        <w:rPr>
          <w:rFonts w:ascii="Arial" w:hAnsi="Arial" w:cs="Arial"/>
        </w:rPr>
        <w:t xml:space="preserve"> u </w:t>
      </w:r>
      <w:proofErr w:type="spellStart"/>
      <w:r w:rsidRPr="005404CE">
        <w:rPr>
          <w:rFonts w:ascii="Arial" w:hAnsi="Arial" w:cs="Arial"/>
        </w:rPr>
        <w:t>kojoj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su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primljeni</w:t>
      </w:r>
      <w:proofErr w:type="spellEnd"/>
      <w:r w:rsidRPr="005404CE">
        <w:rPr>
          <w:rFonts w:ascii="Arial" w:hAnsi="Arial" w:cs="Arial"/>
        </w:rPr>
        <w:t xml:space="preserve">, u </w:t>
      </w:r>
      <w:proofErr w:type="spellStart"/>
      <w:r w:rsidRPr="005404CE">
        <w:rPr>
          <w:rFonts w:ascii="Arial" w:hAnsi="Arial" w:cs="Arial"/>
        </w:rPr>
        <w:t>računovodstvu</w:t>
      </w:r>
      <w:proofErr w:type="spellEnd"/>
      <w:r w:rsidRPr="005404CE">
        <w:rPr>
          <w:rFonts w:ascii="Arial" w:hAnsi="Arial" w:cs="Arial"/>
        </w:rPr>
        <w:t xml:space="preserve"> se ne </w:t>
      </w:r>
      <w:proofErr w:type="spellStart"/>
      <w:r w:rsidRPr="005404CE">
        <w:rPr>
          <w:rFonts w:ascii="Arial" w:hAnsi="Arial" w:cs="Arial"/>
        </w:rPr>
        <w:t>iskazuje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razredu</w:t>
      </w:r>
      <w:proofErr w:type="spellEnd"/>
      <w:r w:rsidRPr="005404CE">
        <w:rPr>
          <w:rFonts w:ascii="Arial" w:hAnsi="Arial" w:cs="Arial"/>
        </w:rPr>
        <w:t xml:space="preserve"> 8</w:t>
      </w:r>
      <w:r w:rsidR="00DC7ED8">
        <w:rPr>
          <w:rFonts w:ascii="Arial" w:hAnsi="Arial" w:cs="Arial"/>
        </w:rPr>
        <w:t xml:space="preserve"> </w:t>
      </w:r>
      <w:proofErr w:type="gramStart"/>
      <w:r w:rsidR="00DC7ED8">
        <w:rPr>
          <w:rFonts w:ascii="Arial" w:hAnsi="Arial" w:cs="Arial"/>
        </w:rPr>
        <w:t xml:space="preserve">- </w:t>
      </w:r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Primici</w:t>
      </w:r>
      <w:proofErr w:type="spellEnd"/>
      <w:proofErr w:type="gramEnd"/>
      <w:r w:rsidRPr="005404CE">
        <w:rPr>
          <w:rFonts w:ascii="Arial" w:hAnsi="Arial" w:cs="Arial"/>
        </w:rPr>
        <w:t xml:space="preserve"> od </w:t>
      </w:r>
      <w:proofErr w:type="spellStart"/>
      <w:r w:rsidRPr="005404CE">
        <w:rPr>
          <w:rFonts w:ascii="Arial" w:hAnsi="Arial" w:cs="Arial"/>
        </w:rPr>
        <w:t>financijske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imovine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zaduživanja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razredu</w:t>
      </w:r>
      <w:proofErr w:type="spellEnd"/>
      <w:r w:rsidRPr="005404CE">
        <w:rPr>
          <w:rFonts w:ascii="Arial" w:hAnsi="Arial" w:cs="Arial"/>
        </w:rPr>
        <w:t xml:space="preserve"> 5 </w:t>
      </w:r>
      <w:proofErr w:type="spellStart"/>
      <w:r w:rsidRPr="005404CE">
        <w:rPr>
          <w:rFonts w:ascii="Arial" w:hAnsi="Arial" w:cs="Arial"/>
        </w:rPr>
        <w:t>Izdaci</w:t>
      </w:r>
      <w:proofErr w:type="spellEnd"/>
      <w:r w:rsidRPr="005404CE">
        <w:rPr>
          <w:rFonts w:ascii="Arial" w:hAnsi="Arial" w:cs="Arial"/>
        </w:rPr>
        <w:t xml:space="preserve"> za </w:t>
      </w:r>
      <w:proofErr w:type="spellStart"/>
      <w:r w:rsidRPr="005404CE">
        <w:rPr>
          <w:rFonts w:ascii="Arial" w:hAnsi="Arial" w:cs="Arial"/>
        </w:rPr>
        <w:t>financijsku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imovinu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otplate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zajmova</w:t>
      </w:r>
      <w:proofErr w:type="spellEnd"/>
      <w:r w:rsidRPr="005404CE">
        <w:rPr>
          <w:rFonts w:ascii="Arial" w:hAnsi="Arial" w:cs="Arial"/>
        </w:rPr>
        <w:t xml:space="preserve">. </w:t>
      </w:r>
      <w:proofErr w:type="spellStart"/>
      <w:r w:rsidRPr="005404CE">
        <w:rPr>
          <w:rFonts w:ascii="Arial" w:hAnsi="Arial" w:cs="Arial"/>
        </w:rPr>
        <w:t>Stoga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kratkoročne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kredite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zajmove</w:t>
      </w:r>
      <w:proofErr w:type="spellEnd"/>
      <w:r w:rsidRPr="005404CE">
        <w:rPr>
          <w:rFonts w:ascii="Arial" w:hAnsi="Arial" w:cs="Arial"/>
        </w:rPr>
        <w:t xml:space="preserve"> koji se </w:t>
      </w:r>
      <w:proofErr w:type="spellStart"/>
      <w:r w:rsidRPr="005404CE">
        <w:rPr>
          <w:rFonts w:ascii="Arial" w:hAnsi="Arial" w:cs="Arial"/>
        </w:rPr>
        <w:t>vraćaju</w:t>
      </w:r>
      <w:proofErr w:type="spellEnd"/>
      <w:r w:rsidRPr="005404CE">
        <w:rPr>
          <w:rFonts w:ascii="Arial" w:hAnsi="Arial" w:cs="Arial"/>
        </w:rPr>
        <w:t xml:space="preserve"> u </w:t>
      </w:r>
      <w:proofErr w:type="spellStart"/>
      <w:r w:rsidRPr="005404CE">
        <w:rPr>
          <w:rFonts w:ascii="Arial" w:hAnsi="Arial" w:cs="Arial"/>
        </w:rPr>
        <w:t>istoj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proračunskoj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godini</w:t>
      </w:r>
      <w:proofErr w:type="spellEnd"/>
      <w:r w:rsidRPr="005404CE">
        <w:rPr>
          <w:rFonts w:ascii="Arial" w:hAnsi="Arial" w:cs="Arial"/>
        </w:rPr>
        <w:t xml:space="preserve"> ne </w:t>
      </w:r>
      <w:proofErr w:type="spellStart"/>
      <w:r w:rsidRPr="005404CE">
        <w:rPr>
          <w:rFonts w:ascii="Arial" w:hAnsi="Arial" w:cs="Arial"/>
        </w:rPr>
        <w:t>treba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niti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planirati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primicima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izdacima</w:t>
      </w:r>
      <w:proofErr w:type="spellEnd"/>
      <w:r w:rsidRPr="005404CE">
        <w:rPr>
          <w:rFonts w:ascii="Arial" w:hAnsi="Arial" w:cs="Arial"/>
        </w:rPr>
        <w:t xml:space="preserve">. </w:t>
      </w:r>
      <w:proofErr w:type="spellStart"/>
      <w:r w:rsidRPr="005404CE">
        <w:rPr>
          <w:rFonts w:ascii="Arial" w:hAnsi="Arial" w:cs="Arial"/>
        </w:rPr>
        <w:t>Međutim</w:t>
      </w:r>
      <w:proofErr w:type="spellEnd"/>
      <w:r w:rsidRPr="005404CE">
        <w:rPr>
          <w:rFonts w:ascii="Arial" w:hAnsi="Arial" w:cs="Arial"/>
        </w:rPr>
        <w:t xml:space="preserve">, </w:t>
      </w:r>
      <w:proofErr w:type="spellStart"/>
      <w:r w:rsidRPr="005404CE">
        <w:rPr>
          <w:rFonts w:ascii="Arial" w:hAnsi="Arial" w:cs="Arial"/>
        </w:rPr>
        <w:t>ako</w:t>
      </w:r>
      <w:proofErr w:type="spellEnd"/>
      <w:r w:rsidRPr="005404CE">
        <w:rPr>
          <w:rFonts w:ascii="Arial" w:hAnsi="Arial" w:cs="Arial"/>
        </w:rPr>
        <w:t xml:space="preserve"> se </w:t>
      </w:r>
      <w:proofErr w:type="spellStart"/>
      <w:r w:rsidRPr="005404CE">
        <w:rPr>
          <w:rFonts w:ascii="Arial" w:hAnsi="Arial" w:cs="Arial"/>
        </w:rPr>
        <w:t>primljeni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kratkoročni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zajam</w:t>
      </w:r>
      <w:proofErr w:type="spellEnd"/>
      <w:r w:rsidRPr="005404CE">
        <w:rPr>
          <w:rFonts w:ascii="Arial" w:hAnsi="Arial" w:cs="Arial"/>
        </w:rPr>
        <w:t xml:space="preserve"> ne </w:t>
      </w:r>
      <w:proofErr w:type="spellStart"/>
      <w:r w:rsidRPr="005404CE">
        <w:rPr>
          <w:rFonts w:ascii="Arial" w:hAnsi="Arial" w:cs="Arial"/>
        </w:rPr>
        <w:t>vraća</w:t>
      </w:r>
      <w:proofErr w:type="spellEnd"/>
      <w:r w:rsidRPr="005404CE">
        <w:rPr>
          <w:rFonts w:ascii="Arial" w:hAnsi="Arial" w:cs="Arial"/>
        </w:rPr>
        <w:t xml:space="preserve"> u </w:t>
      </w:r>
      <w:proofErr w:type="spellStart"/>
      <w:r w:rsidRPr="005404CE">
        <w:rPr>
          <w:rFonts w:ascii="Arial" w:hAnsi="Arial" w:cs="Arial"/>
        </w:rPr>
        <w:t>godini</w:t>
      </w:r>
      <w:proofErr w:type="spellEnd"/>
      <w:r w:rsidRPr="005404CE">
        <w:rPr>
          <w:rFonts w:ascii="Arial" w:hAnsi="Arial" w:cs="Arial"/>
        </w:rPr>
        <w:t xml:space="preserve"> u </w:t>
      </w:r>
      <w:proofErr w:type="spellStart"/>
      <w:r w:rsidRPr="005404CE">
        <w:rPr>
          <w:rFonts w:ascii="Arial" w:hAnsi="Arial" w:cs="Arial"/>
        </w:rPr>
        <w:t>kojoj</w:t>
      </w:r>
      <w:proofErr w:type="spellEnd"/>
      <w:r w:rsidRPr="005404CE">
        <w:rPr>
          <w:rFonts w:ascii="Arial" w:hAnsi="Arial" w:cs="Arial"/>
        </w:rPr>
        <w:t xml:space="preserve"> je </w:t>
      </w:r>
      <w:proofErr w:type="spellStart"/>
      <w:r w:rsidRPr="005404CE">
        <w:rPr>
          <w:rFonts w:ascii="Arial" w:hAnsi="Arial" w:cs="Arial"/>
        </w:rPr>
        <w:t>primljen</w:t>
      </w:r>
      <w:proofErr w:type="spellEnd"/>
      <w:r w:rsidRPr="005404CE">
        <w:rPr>
          <w:rFonts w:ascii="Arial" w:hAnsi="Arial" w:cs="Arial"/>
        </w:rPr>
        <w:t xml:space="preserve">, u </w:t>
      </w:r>
      <w:proofErr w:type="spellStart"/>
      <w:r w:rsidRPr="005404CE">
        <w:rPr>
          <w:rFonts w:ascii="Arial" w:hAnsi="Arial" w:cs="Arial"/>
        </w:rPr>
        <w:t>računovodstvu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kraju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godine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razredu</w:t>
      </w:r>
      <w:proofErr w:type="spellEnd"/>
      <w:r w:rsidRPr="005404CE">
        <w:rPr>
          <w:rFonts w:ascii="Arial" w:hAnsi="Arial" w:cs="Arial"/>
        </w:rPr>
        <w:t xml:space="preserve"> 8 </w:t>
      </w:r>
      <w:proofErr w:type="spellStart"/>
      <w:r w:rsidRPr="005404CE">
        <w:rPr>
          <w:rFonts w:ascii="Arial" w:hAnsi="Arial" w:cs="Arial"/>
        </w:rPr>
        <w:t>Primici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od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financijske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imovine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zaduživanja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ostaje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iskazan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iznos</w:t>
      </w:r>
      <w:proofErr w:type="spellEnd"/>
      <w:r w:rsidRPr="005404CE">
        <w:rPr>
          <w:rFonts w:ascii="Arial" w:hAnsi="Arial" w:cs="Arial"/>
        </w:rPr>
        <w:t xml:space="preserve"> koji </w:t>
      </w:r>
      <w:proofErr w:type="spellStart"/>
      <w:r w:rsidRPr="005404CE">
        <w:rPr>
          <w:rFonts w:ascii="Arial" w:hAnsi="Arial" w:cs="Arial"/>
        </w:rPr>
        <w:t>nije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vraćen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tijekom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godine</w:t>
      </w:r>
      <w:proofErr w:type="spellEnd"/>
      <w:r w:rsidRPr="005404CE">
        <w:rPr>
          <w:rFonts w:ascii="Arial" w:hAnsi="Arial" w:cs="Arial"/>
        </w:rPr>
        <w:t xml:space="preserve">, </w:t>
      </w:r>
      <w:proofErr w:type="spellStart"/>
      <w:r w:rsidRPr="005404CE">
        <w:rPr>
          <w:rFonts w:ascii="Arial" w:hAnsi="Arial" w:cs="Arial"/>
        </w:rPr>
        <w:t>dok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će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sljedeće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godine</w:t>
      </w:r>
      <w:proofErr w:type="spellEnd"/>
      <w:r w:rsidRPr="005404CE">
        <w:rPr>
          <w:rFonts w:ascii="Arial" w:hAnsi="Arial" w:cs="Arial"/>
        </w:rPr>
        <w:t xml:space="preserve"> taj </w:t>
      </w:r>
      <w:proofErr w:type="spellStart"/>
      <w:r w:rsidRPr="005404CE">
        <w:rPr>
          <w:rFonts w:ascii="Arial" w:hAnsi="Arial" w:cs="Arial"/>
        </w:rPr>
        <w:t>isti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iznos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biti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iskazan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razredu</w:t>
      </w:r>
      <w:proofErr w:type="spellEnd"/>
      <w:r w:rsidRPr="005404CE">
        <w:rPr>
          <w:rFonts w:ascii="Arial" w:hAnsi="Arial" w:cs="Arial"/>
        </w:rPr>
        <w:t xml:space="preserve"> 5 </w:t>
      </w:r>
      <w:proofErr w:type="spellStart"/>
      <w:r w:rsidRPr="005404CE">
        <w:rPr>
          <w:rFonts w:ascii="Arial" w:hAnsi="Arial" w:cs="Arial"/>
        </w:rPr>
        <w:t>Izdaci</w:t>
      </w:r>
      <w:proofErr w:type="spellEnd"/>
      <w:r w:rsidRPr="005404CE">
        <w:rPr>
          <w:rFonts w:ascii="Arial" w:hAnsi="Arial" w:cs="Arial"/>
        </w:rPr>
        <w:t xml:space="preserve"> za </w:t>
      </w:r>
      <w:proofErr w:type="spellStart"/>
      <w:r w:rsidRPr="005404CE">
        <w:rPr>
          <w:rFonts w:ascii="Arial" w:hAnsi="Arial" w:cs="Arial"/>
        </w:rPr>
        <w:t>financijsku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imovinu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otplate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zajmova</w:t>
      </w:r>
      <w:proofErr w:type="spellEnd"/>
      <w:r w:rsidRPr="005404CE">
        <w:rPr>
          <w:rFonts w:ascii="Arial" w:hAnsi="Arial" w:cs="Arial"/>
        </w:rPr>
        <w:t xml:space="preserve">. </w:t>
      </w:r>
      <w:proofErr w:type="spellStart"/>
      <w:r w:rsidRPr="005404CE">
        <w:rPr>
          <w:rFonts w:ascii="Arial" w:hAnsi="Arial" w:cs="Arial"/>
        </w:rPr>
        <w:t>Stoga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iznos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glavnice</w:t>
      </w:r>
      <w:proofErr w:type="spellEnd"/>
      <w:r w:rsidRPr="005404CE">
        <w:rPr>
          <w:rFonts w:ascii="Arial" w:hAnsi="Arial" w:cs="Arial"/>
        </w:rPr>
        <w:t xml:space="preserve"> koji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kraju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godine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neće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biti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vraćen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treba</w:t>
      </w:r>
      <w:proofErr w:type="spellEnd"/>
      <w:r w:rsidRPr="005404CE">
        <w:rPr>
          <w:rFonts w:ascii="Arial" w:hAnsi="Arial" w:cs="Arial"/>
        </w:rPr>
        <w:t xml:space="preserve"> u </w:t>
      </w:r>
      <w:proofErr w:type="spellStart"/>
      <w:r w:rsidRPr="005404CE">
        <w:rPr>
          <w:rFonts w:ascii="Arial" w:hAnsi="Arial" w:cs="Arial"/>
        </w:rPr>
        <w:t>tekućoj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godini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planirati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primicima</w:t>
      </w:r>
      <w:proofErr w:type="spellEnd"/>
      <w:r w:rsidRPr="005404CE">
        <w:rPr>
          <w:rFonts w:ascii="Arial" w:hAnsi="Arial" w:cs="Arial"/>
        </w:rPr>
        <w:t xml:space="preserve">, a u </w:t>
      </w:r>
      <w:proofErr w:type="spellStart"/>
      <w:r w:rsidRPr="005404CE">
        <w:rPr>
          <w:rFonts w:ascii="Arial" w:hAnsi="Arial" w:cs="Arial"/>
        </w:rPr>
        <w:t>sljedećoj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godini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izdacima</w:t>
      </w:r>
      <w:proofErr w:type="spellEnd"/>
      <w:r w:rsidRPr="005404CE">
        <w:rPr>
          <w:rFonts w:ascii="Arial" w:hAnsi="Arial" w:cs="Arial"/>
        </w:rPr>
        <w:t xml:space="preserve">. </w:t>
      </w:r>
      <w:proofErr w:type="spellStart"/>
      <w:r w:rsidRPr="005404CE">
        <w:rPr>
          <w:rFonts w:ascii="Arial" w:hAnsi="Arial" w:cs="Arial"/>
        </w:rPr>
        <w:t>Sredstva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kredita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ili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zajma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koja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nisu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vraćena</w:t>
      </w:r>
      <w:proofErr w:type="spellEnd"/>
      <w:r w:rsidRPr="005404CE">
        <w:rPr>
          <w:rFonts w:ascii="Arial" w:hAnsi="Arial" w:cs="Arial"/>
        </w:rPr>
        <w:t xml:space="preserve"> u </w:t>
      </w:r>
      <w:proofErr w:type="spellStart"/>
      <w:r w:rsidRPr="005404CE">
        <w:rPr>
          <w:rFonts w:ascii="Arial" w:hAnsi="Arial" w:cs="Arial"/>
        </w:rPr>
        <w:t>tekućoj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godini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korištena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su</w:t>
      </w:r>
      <w:proofErr w:type="spellEnd"/>
      <w:r w:rsidRPr="005404CE">
        <w:rPr>
          <w:rFonts w:ascii="Arial" w:hAnsi="Arial" w:cs="Arial"/>
        </w:rPr>
        <w:t xml:space="preserve"> za </w:t>
      </w:r>
      <w:proofErr w:type="spellStart"/>
      <w:r w:rsidRPr="005404CE">
        <w:rPr>
          <w:rFonts w:ascii="Arial" w:hAnsi="Arial" w:cs="Arial"/>
        </w:rPr>
        <w:t>pokriće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obveza</w:t>
      </w:r>
      <w:proofErr w:type="spellEnd"/>
      <w:r w:rsidRPr="005404CE">
        <w:rPr>
          <w:rFonts w:ascii="Arial" w:hAnsi="Arial" w:cs="Arial"/>
        </w:rPr>
        <w:t xml:space="preserve"> za </w:t>
      </w:r>
      <w:proofErr w:type="spellStart"/>
      <w:r w:rsidRPr="005404CE">
        <w:rPr>
          <w:rFonts w:ascii="Arial" w:hAnsi="Arial" w:cs="Arial"/>
        </w:rPr>
        <w:t>rashode</w:t>
      </w:r>
      <w:proofErr w:type="spellEnd"/>
      <w:r w:rsidRPr="005404CE">
        <w:rPr>
          <w:rFonts w:ascii="Arial" w:hAnsi="Arial" w:cs="Arial"/>
        </w:rPr>
        <w:t xml:space="preserve">. </w:t>
      </w:r>
      <w:proofErr w:type="spellStart"/>
      <w:r w:rsidRPr="005404CE">
        <w:rPr>
          <w:rFonts w:ascii="Arial" w:hAnsi="Arial" w:cs="Arial"/>
        </w:rPr>
        <w:t>Povrat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će</w:t>
      </w:r>
      <w:proofErr w:type="spellEnd"/>
      <w:r w:rsidRPr="005404CE">
        <w:rPr>
          <w:rFonts w:ascii="Arial" w:hAnsi="Arial" w:cs="Arial"/>
        </w:rPr>
        <w:t xml:space="preserve"> se u </w:t>
      </w:r>
      <w:proofErr w:type="spellStart"/>
      <w:r w:rsidRPr="005404CE">
        <w:rPr>
          <w:rFonts w:ascii="Arial" w:hAnsi="Arial" w:cs="Arial"/>
        </w:rPr>
        <w:t>sljedećoj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godini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financirati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iz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ostvarenih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prihoda</w:t>
      </w:r>
      <w:proofErr w:type="spellEnd"/>
      <w:r w:rsidRPr="005404CE">
        <w:rPr>
          <w:rFonts w:ascii="Arial" w:hAnsi="Arial" w:cs="Arial"/>
        </w:rPr>
        <w:t xml:space="preserve">. Na taj </w:t>
      </w:r>
      <w:proofErr w:type="spellStart"/>
      <w:r w:rsidRPr="005404CE">
        <w:rPr>
          <w:rFonts w:ascii="Arial" w:hAnsi="Arial" w:cs="Arial"/>
        </w:rPr>
        <w:t>način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ostvarit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će</w:t>
      </w:r>
      <w:proofErr w:type="spellEnd"/>
      <w:r w:rsidRPr="005404CE">
        <w:rPr>
          <w:rFonts w:ascii="Arial" w:hAnsi="Arial" w:cs="Arial"/>
        </w:rPr>
        <w:t xml:space="preserve"> se </w:t>
      </w:r>
      <w:proofErr w:type="spellStart"/>
      <w:r w:rsidRPr="005404CE">
        <w:rPr>
          <w:rFonts w:ascii="Arial" w:hAnsi="Arial" w:cs="Arial"/>
        </w:rPr>
        <w:t>proračunska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ravnoteža</w:t>
      </w:r>
      <w:proofErr w:type="spellEnd"/>
      <w:r w:rsidRPr="005404CE">
        <w:rPr>
          <w:rFonts w:ascii="Arial" w:hAnsi="Arial" w:cs="Arial"/>
        </w:rPr>
        <w:t>.</w:t>
      </w:r>
    </w:p>
    <w:p w14:paraId="4DF03CE0" w14:textId="190CB582" w:rsidR="006657BC" w:rsidRDefault="006657BC" w:rsidP="00C33653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179C013D" w14:textId="5FA95560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Šifre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nazivi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zajedničkih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programa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aktivnosti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projekti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Cs/>
          <w:sz w:val="22"/>
          <w:szCs w:val="22"/>
        </w:rPr>
        <w:t>skladu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Cs/>
          <w:sz w:val="22"/>
          <w:szCs w:val="22"/>
        </w:rPr>
        <w:t>kojima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će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korisnici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izraditi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svoj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financijski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plan:</w:t>
      </w:r>
    </w:p>
    <w:p w14:paraId="0975DF7C" w14:textId="0A0B5D0F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680"/>
        <w:gridCol w:w="6392"/>
      </w:tblGrid>
      <w:tr w:rsidR="00DA40AF" w:rsidRPr="00DA40AF" w14:paraId="1C0E09B3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02AE39B4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Korisnik   01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70E854E7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JAVNA VATROGASNA POSTROJBA</w:t>
            </w:r>
          </w:p>
        </w:tc>
      </w:tr>
      <w:tr w:rsidR="00DA40AF" w:rsidRPr="00DA40AF" w14:paraId="0BEBF88A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14:paraId="6196D218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 005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14:paraId="7206DA27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Zaštita od požara i civilna zaštita</w:t>
            </w:r>
          </w:p>
        </w:tc>
      </w:tr>
      <w:tr w:rsidR="00DA40AF" w:rsidRPr="00DA40AF" w14:paraId="57848116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8F09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A100501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E425C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javne vatrogasne postrojbe</w:t>
            </w:r>
          </w:p>
        </w:tc>
      </w:tr>
      <w:tr w:rsidR="00DA40AF" w:rsidRPr="00DA40AF" w14:paraId="10C3D9AC" w14:textId="77777777" w:rsidTr="00D3270B">
        <w:trPr>
          <w:trHeight w:val="4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915A4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K100501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FF698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Nabava dugotrajne imovine (Javna vatrogasna postrojba) - oprema</w:t>
            </w:r>
          </w:p>
        </w:tc>
      </w:tr>
      <w:tr w:rsidR="00DA40AF" w:rsidRPr="00DA40AF" w14:paraId="48E199B6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48254A8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Korisnik   02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56F67B36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DJEČJI VRTIĆ "MASLAČAK"</w:t>
            </w:r>
          </w:p>
        </w:tc>
      </w:tr>
      <w:tr w:rsidR="00DA40AF" w:rsidRPr="00DA40AF" w14:paraId="1B8B93A4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14:paraId="11D2C5D1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 016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14:paraId="5DFBAF93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Predškolsko obrazovanje</w:t>
            </w:r>
          </w:p>
        </w:tc>
      </w:tr>
      <w:tr w:rsidR="00DA40AF" w:rsidRPr="00DA40AF" w14:paraId="6FB835C5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BAA02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A101601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5E7BD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Dječjeg vrtića Maslačak</w:t>
            </w:r>
          </w:p>
        </w:tc>
      </w:tr>
      <w:tr w:rsidR="00DA40AF" w:rsidRPr="00DA40AF" w14:paraId="6A1602C2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3A6EE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A101602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79C5B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Redovno održavanje opreme i prijevoznih sredstava</w:t>
            </w:r>
          </w:p>
        </w:tc>
      </w:tr>
      <w:tr w:rsidR="00DA40AF" w:rsidRPr="00DA40AF" w14:paraId="276640E3" w14:textId="77777777" w:rsidTr="00D3270B">
        <w:trPr>
          <w:trHeight w:val="4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B30D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K101601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5ED1D" w14:textId="3F2DDABF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Opremanje javne ustanove </w:t>
            </w:r>
            <w:r w:rsidR="00D3270B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- </w:t>
            </w: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Dječji vrtić Maslačak</w:t>
            </w:r>
          </w:p>
        </w:tc>
      </w:tr>
      <w:tr w:rsidR="00DA40AF" w:rsidRPr="00DA40AF" w14:paraId="5873D816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8D405A8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Korisnik   03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18E9B28F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HRVATSKA KNJIŽNICA I ČITAONICA "ĐURO SUDETA"</w:t>
            </w:r>
          </w:p>
        </w:tc>
      </w:tr>
      <w:tr w:rsidR="00DA40AF" w:rsidRPr="00DA40AF" w14:paraId="7B954F25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14:paraId="6F35B069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 006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14:paraId="79BDA5FA" w14:textId="77777777" w:rsidR="00DA40AF" w:rsidRPr="00DA40AF" w:rsidRDefault="00DA40AF" w:rsidP="00DA40A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Javne potrebe u kulturi</w:t>
            </w:r>
          </w:p>
        </w:tc>
      </w:tr>
      <w:tr w:rsidR="00DA40AF" w:rsidRPr="00DA40AF" w14:paraId="25A03A2A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A2ADD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A100601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B33D4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Knjižnice i čitaonice "Đuro Sudeta"</w:t>
            </w:r>
          </w:p>
        </w:tc>
      </w:tr>
      <w:tr w:rsidR="00DA40AF" w:rsidRPr="00DA40AF" w14:paraId="252AF7D4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41130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A100602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40D31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opreme za redovno korištenje - Knjižnica i čitaonica</w:t>
            </w:r>
          </w:p>
        </w:tc>
      </w:tr>
      <w:tr w:rsidR="00DA40AF" w:rsidRPr="00DA40AF" w14:paraId="70F71490" w14:textId="77777777" w:rsidTr="00D3270B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2507C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A100603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6A865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poslovnog objekta knjižnice za redovno korištenje</w:t>
            </w:r>
          </w:p>
        </w:tc>
      </w:tr>
      <w:tr w:rsidR="00DA40AF" w:rsidRPr="00DA40AF" w14:paraId="646D9DA6" w14:textId="77777777" w:rsidTr="00D3270B">
        <w:trPr>
          <w:trHeight w:val="4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CCB67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K100601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40842" w14:textId="77777777" w:rsidR="00DA40AF" w:rsidRPr="00DA40AF" w:rsidRDefault="00DA40AF" w:rsidP="00DA40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DA40AF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Opremanje knjižnice</w:t>
            </w:r>
          </w:p>
        </w:tc>
      </w:tr>
    </w:tbl>
    <w:p w14:paraId="70FDC716" w14:textId="52CB9180" w:rsidR="009E421A" w:rsidRDefault="009E421A" w:rsidP="00DA40AF">
      <w:pPr>
        <w:pStyle w:val="Obinitekst"/>
        <w:jc w:val="both"/>
        <w:rPr>
          <w:rFonts w:ascii="Arial" w:hAnsi="Arial" w:cs="Arial"/>
          <w:bCs/>
          <w:sz w:val="22"/>
          <w:szCs w:val="22"/>
        </w:rPr>
      </w:pPr>
    </w:p>
    <w:p w14:paraId="6699B4BD" w14:textId="05AE47E9" w:rsidR="009E421A" w:rsidRDefault="00D3270B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bCs/>
          <w:sz w:val="22"/>
          <w:szCs w:val="22"/>
        </w:rPr>
        <w:t>slučaju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planiranja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novih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aktivnosti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potrebno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je od </w:t>
      </w:r>
      <w:proofErr w:type="spellStart"/>
      <w:r>
        <w:rPr>
          <w:rFonts w:ascii="Arial" w:hAnsi="Arial" w:cs="Arial"/>
          <w:bCs/>
          <w:sz w:val="22"/>
          <w:szCs w:val="22"/>
        </w:rPr>
        <w:t>Upravnog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odjela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Cs/>
          <w:sz w:val="22"/>
          <w:szCs w:val="22"/>
        </w:rPr>
        <w:t>financije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zatražiti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912E6">
        <w:rPr>
          <w:rFonts w:ascii="Arial" w:hAnsi="Arial" w:cs="Arial"/>
          <w:bCs/>
          <w:sz w:val="22"/>
          <w:szCs w:val="22"/>
        </w:rPr>
        <w:t>njihovo</w:t>
      </w:r>
      <w:proofErr w:type="spellEnd"/>
      <w:r w:rsidR="005912E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912E6">
        <w:rPr>
          <w:rFonts w:ascii="Arial" w:hAnsi="Arial" w:cs="Arial"/>
          <w:bCs/>
          <w:sz w:val="22"/>
          <w:szCs w:val="22"/>
        </w:rPr>
        <w:t>otvaranje</w:t>
      </w:r>
      <w:proofErr w:type="spellEnd"/>
      <w:r w:rsidR="005912E6">
        <w:rPr>
          <w:rFonts w:ascii="Arial" w:hAnsi="Arial" w:cs="Arial"/>
          <w:bCs/>
          <w:sz w:val="22"/>
          <w:szCs w:val="22"/>
        </w:rPr>
        <w:t>.</w:t>
      </w:r>
    </w:p>
    <w:p w14:paraId="6C1ADA0E" w14:textId="5D2C3CAD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0520A0C7" w14:textId="4FC4A34C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45B96C82" w14:textId="75847F28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770F09C1" w14:textId="16F6246E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3459C124" w14:textId="77777777" w:rsidR="0047329C" w:rsidRDefault="00A52C89" w:rsidP="005912E6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Obrazloženje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financijskog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plana</w:t>
      </w:r>
    </w:p>
    <w:p w14:paraId="725348F5" w14:textId="77777777" w:rsidR="00A52C89" w:rsidRDefault="00A52C89" w:rsidP="00C33653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0022D8C4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Obrazl</w:t>
      </w:r>
      <w:r>
        <w:rPr>
          <w:rFonts w:ascii="Arial" w:hAnsi="Arial" w:cs="Arial"/>
          <w:sz w:val="22"/>
          <w:szCs w:val="22"/>
        </w:rPr>
        <w:t>oženje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financijskog</w:t>
      </w:r>
      <w:proofErr w:type="spellEnd"/>
      <w:r>
        <w:rPr>
          <w:rFonts w:ascii="Arial" w:hAnsi="Arial" w:cs="Arial"/>
          <w:sz w:val="22"/>
          <w:szCs w:val="22"/>
        </w:rPr>
        <w:t xml:space="preserve"> plana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korisnika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podloga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2C89">
        <w:rPr>
          <w:rFonts w:ascii="Arial" w:hAnsi="Arial" w:cs="Arial"/>
          <w:sz w:val="22"/>
          <w:szCs w:val="22"/>
        </w:rPr>
        <w:t>analiziranje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rezultata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učinaka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oblikovanje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buduć</w:t>
      </w:r>
      <w:r w:rsidRPr="00A52C89">
        <w:rPr>
          <w:rFonts w:ascii="Arial" w:hAnsi="Arial" w:cs="Arial"/>
          <w:sz w:val="22"/>
          <w:szCs w:val="22"/>
        </w:rPr>
        <w:t>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ciljeva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usmjeravanje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djelovanja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</w:t>
      </w:r>
      <w:r w:rsidR="00C33653">
        <w:rPr>
          <w:rFonts w:ascii="Arial" w:hAnsi="Arial" w:cs="Arial"/>
          <w:sz w:val="22"/>
          <w:szCs w:val="22"/>
        </w:rPr>
        <w:t>kog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korisnika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te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3653">
        <w:rPr>
          <w:rFonts w:ascii="Arial" w:hAnsi="Arial" w:cs="Arial"/>
          <w:sz w:val="22"/>
          <w:szCs w:val="22"/>
        </w:rPr>
        <w:t>osnova</w:t>
      </w:r>
      <w:proofErr w:type="spellEnd"/>
      <w:r w:rsidR="00C3365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33653">
        <w:rPr>
          <w:rFonts w:ascii="Arial" w:hAnsi="Arial" w:cs="Arial"/>
          <w:sz w:val="22"/>
          <w:szCs w:val="22"/>
        </w:rPr>
        <w:t>utvrđ</w:t>
      </w:r>
      <w:r w:rsidRPr="00A52C89">
        <w:rPr>
          <w:rFonts w:ascii="Arial" w:hAnsi="Arial" w:cs="Arial"/>
          <w:sz w:val="22"/>
          <w:szCs w:val="22"/>
        </w:rPr>
        <w:t>ivanje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odgovornosti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53E2911F" w14:textId="77777777" w:rsid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</w:p>
    <w:p w14:paraId="35E63BC3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člankom</w:t>
      </w:r>
      <w:proofErr w:type="spellEnd"/>
      <w:r>
        <w:rPr>
          <w:rFonts w:ascii="Arial" w:hAnsi="Arial" w:cs="Arial"/>
          <w:sz w:val="22"/>
          <w:szCs w:val="22"/>
        </w:rPr>
        <w:t xml:space="preserve"> 30.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proračunu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korisnici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dužni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uz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prijedlog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financijskog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Pr="00A52C89">
        <w:rPr>
          <w:rFonts w:ascii="Arial" w:hAnsi="Arial" w:cs="Arial"/>
          <w:sz w:val="22"/>
          <w:szCs w:val="22"/>
        </w:rPr>
        <w:t>izraditi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dostaviti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obrazloženje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prijedloga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financijskog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plana. </w:t>
      </w:r>
    </w:p>
    <w:p w14:paraId="5C8F8679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</w:p>
    <w:p w14:paraId="0926B99C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Uvođenjem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srednjoroč</w:t>
      </w:r>
      <w:r w:rsidRPr="00A52C89">
        <w:rPr>
          <w:rFonts w:ascii="Arial" w:hAnsi="Arial" w:cs="Arial"/>
          <w:sz w:val="22"/>
          <w:szCs w:val="22"/>
        </w:rPr>
        <w:t>nog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fiskalnog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okvira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planiranja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2C89">
        <w:rPr>
          <w:rFonts w:ascii="Arial" w:hAnsi="Arial" w:cs="Arial"/>
          <w:sz w:val="22"/>
          <w:szCs w:val="22"/>
        </w:rPr>
        <w:t>skladu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A52C89">
        <w:rPr>
          <w:rFonts w:ascii="Arial" w:hAnsi="Arial" w:cs="Arial"/>
          <w:sz w:val="22"/>
          <w:szCs w:val="22"/>
        </w:rPr>
        <w:t>najboljom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europskom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praksom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naglasak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52C89">
        <w:rPr>
          <w:rFonts w:ascii="Arial" w:hAnsi="Arial" w:cs="Arial"/>
          <w:sz w:val="22"/>
          <w:szCs w:val="22"/>
        </w:rPr>
        <w:t>stavlja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rezultate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A52C89">
        <w:rPr>
          <w:rFonts w:ascii="Arial" w:hAnsi="Arial" w:cs="Arial"/>
          <w:sz w:val="22"/>
          <w:szCs w:val="22"/>
        </w:rPr>
        <w:t>postižu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provedbom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aktivnosti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projekata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umjesto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vrstu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visinu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troškova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Time se </w:t>
      </w:r>
      <w:proofErr w:type="spellStart"/>
      <w:r w:rsidRPr="00A52C89">
        <w:rPr>
          <w:rFonts w:ascii="Arial" w:hAnsi="Arial" w:cs="Arial"/>
          <w:sz w:val="22"/>
          <w:szCs w:val="22"/>
        </w:rPr>
        <w:t>zahtijeva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preuzimanje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odgovornosti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2C89">
        <w:rPr>
          <w:rFonts w:ascii="Arial" w:hAnsi="Arial" w:cs="Arial"/>
          <w:sz w:val="22"/>
          <w:szCs w:val="22"/>
        </w:rPr>
        <w:t>rezultate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provedbe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aktivnosti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projekata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) od </w:t>
      </w:r>
      <w:proofErr w:type="spellStart"/>
      <w:r w:rsidRPr="00A52C89">
        <w:rPr>
          <w:rFonts w:ascii="Arial" w:hAnsi="Arial" w:cs="Arial"/>
          <w:sz w:val="22"/>
          <w:szCs w:val="22"/>
        </w:rPr>
        <w:t>jedinica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lokalne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</w:t>
      </w:r>
      <w:r w:rsidRPr="00A52C89">
        <w:rPr>
          <w:rFonts w:ascii="Arial" w:hAnsi="Arial" w:cs="Arial"/>
          <w:sz w:val="22"/>
          <w:szCs w:val="22"/>
        </w:rPr>
        <w:t>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52C89">
        <w:rPr>
          <w:rFonts w:ascii="Arial" w:hAnsi="Arial" w:cs="Arial"/>
          <w:sz w:val="22"/>
          <w:szCs w:val="22"/>
        </w:rPr>
        <w:t>regional</w:t>
      </w:r>
      <w:r>
        <w:rPr>
          <w:rFonts w:ascii="Arial" w:hAnsi="Arial" w:cs="Arial"/>
          <w:sz w:val="22"/>
          <w:szCs w:val="22"/>
        </w:rPr>
        <w:t>ne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samouprave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njihovih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korisnika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2DAB4D7F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</w:p>
    <w:p w14:paraId="1FC8C0FA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Upravo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sto</w:t>
      </w:r>
      <w:r>
        <w:rPr>
          <w:rFonts w:ascii="Arial" w:hAnsi="Arial" w:cs="Arial"/>
          <w:sz w:val="22"/>
          <w:szCs w:val="22"/>
        </w:rPr>
        <w:t>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obrazloženje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postaje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znač</w:t>
      </w:r>
      <w:r w:rsidRPr="00A52C89">
        <w:rPr>
          <w:rFonts w:ascii="Arial" w:hAnsi="Arial" w:cs="Arial"/>
          <w:sz w:val="22"/>
          <w:szCs w:val="22"/>
        </w:rPr>
        <w:t>ajniji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dio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samog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financijskog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što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ukazuje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pitanje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iz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Upitnika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2C89">
        <w:rPr>
          <w:rFonts w:ascii="Arial" w:hAnsi="Arial" w:cs="Arial"/>
          <w:sz w:val="22"/>
          <w:szCs w:val="22"/>
        </w:rPr>
        <w:t>fiskalnoj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odgovornosti</w:t>
      </w:r>
      <w:proofErr w:type="spellEnd"/>
      <w:r w:rsidRPr="00A52C89">
        <w:rPr>
          <w:rFonts w:ascii="Arial" w:hAnsi="Arial" w:cs="Arial"/>
          <w:sz w:val="22"/>
          <w:szCs w:val="22"/>
        </w:rPr>
        <w:t>: „</w:t>
      </w:r>
      <w:proofErr w:type="spellStart"/>
      <w:r w:rsidRPr="00A52C89">
        <w:rPr>
          <w:rFonts w:ascii="Arial" w:hAnsi="Arial" w:cs="Arial"/>
          <w:sz w:val="22"/>
          <w:szCs w:val="22"/>
        </w:rPr>
        <w:t>Obrazl</w:t>
      </w:r>
      <w:r>
        <w:rPr>
          <w:rFonts w:ascii="Arial" w:hAnsi="Arial" w:cs="Arial"/>
          <w:sz w:val="22"/>
          <w:szCs w:val="22"/>
        </w:rPr>
        <w:t>oženje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financijskog</w:t>
      </w:r>
      <w:proofErr w:type="spellEnd"/>
      <w:r>
        <w:rPr>
          <w:rFonts w:ascii="Arial" w:hAnsi="Arial" w:cs="Arial"/>
          <w:sz w:val="22"/>
          <w:szCs w:val="22"/>
        </w:rPr>
        <w:t xml:space="preserve"> plana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korisnika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državnog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kor</w:t>
      </w:r>
      <w:r>
        <w:rPr>
          <w:rFonts w:ascii="Arial" w:hAnsi="Arial" w:cs="Arial"/>
          <w:sz w:val="22"/>
          <w:szCs w:val="22"/>
        </w:rPr>
        <w:t>isnika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</w:t>
      </w:r>
      <w:r w:rsidRPr="00A52C89">
        <w:rPr>
          <w:rFonts w:ascii="Arial" w:hAnsi="Arial" w:cs="Arial"/>
          <w:sz w:val="22"/>
          <w:szCs w:val="22"/>
        </w:rPr>
        <w:t>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52C89">
        <w:rPr>
          <w:rFonts w:ascii="Arial" w:hAnsi="Arial" w:cs="Arial"/>
          <w:sz w:val="22"/>
          <w:szCs w:val="22"/>
        </w:rPr>
        <w:t>regionalne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A52C89">
        <w:rPr>
          <w:rFonts w:ascii="Arial" w:hAnsi="Arial" w:cs="Arial"/>
          <w:sz w:val="22"/>
          <w:szCs w:val="22"/>
        </w:rPr>
        <w:t>samouprave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sadrž</w:t>
      </w:r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sažetak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djelokruga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korisnika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obrazložene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zakonske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druge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podloge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koji</w:t>
      </w:r>
      <w:r>
        <w:rPr>
          <w:rFonts w:ascii="Arial" w:hAnsi="Arial" w:cs="Arial"/>
          <w:sz w:val="22"/>
          <w:szCs w:val="22"/>
        </w:rPr>
        <w:t>ma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zasnivaju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usklađ</w:t>
      </w:r>
      <w:r w:rsidRPr="00A52C89">
        <w:rPr>
          <w:rFonts w:ascii="Arial" w:hAnsi="Arial" w:cs="Arial"/>
          <w:sz w:val="22"/>
          <w:szCs w:val="22"/>
        </w:rPr>
        <w:t>ene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ciljeve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strategiju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programe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dokumentima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dugoroč</w:t>
      </w:r>
      <w:r w:rsidRPr="00A52C89">
        <w:rPr>
          <w:rFonts w:ascii="Arial" w:hAnsi="Arial" w:cs="Arial"/>
          <w:sz w:val="22"/>
          <w:szCs w:val="22"/>
        </w:rPr>
        <w:t>nog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razvoja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ishodište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kojima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proofErr w:type="spellStart"/>
      <w:r>
        <w:rPr>
          <w:rFonts w:ascii="Arial" w:hAnsi="Arial" w:cs="Arial"/>
          <w:sz w:val="22"/>
          <w:szCs w:val="22"/>
        </w:rPr>
        <w:t>zasnivaju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izrač</w:t>
      </w:r>
      <w:r w:rsidRPr="00A52C89">
        <w:rPr>
          <w:rFonts w:ascii="Arial" w:hAnsi="Arial" w:cs="Arial"/>
          <w:sz w:val="22"/>
          <w:szCs w:val="22"/>
        </w:rPr>
        <w:t>uni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ocjene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potrebnih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sredstava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2C89">
        <w:rPr>
          <w:rFonts w:ascii="Arial" w:hAnsi="Arial" w:cs="Arial"/>
          <w:sz w:val="22"/>
          <w:szCs w:val="22"/>
        </w:rPr>
        <w:t>provodenje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izvještaj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2C89">
        <w:rPr>
          <w:rFonts w:ascii="Arial" w:hAnsi="Arial" w:cs="Arial"/>
          <w:sz w:val="22"/>
          <w:szCs w:val="22"/>
        </w:rPr>
        <w:t>postignutim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ciljevima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rezultatima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temeljenim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uspješnosti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iz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korisnika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2C89">
        <w:rPr>
          <w:rFonts w:ascii="Arial" w:hAnsi="Arial" w:cs="Arial"/>
          <w:sz w:val="22"/>
          <w:szCs w:val="22"/>
        </w:rPr>
        <w:t>prethodnoj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godini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ostala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obrazloženja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dokumentaciju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.“ </w:t>
      </w:r>
    </w:p>
    <w:p w14:paraId="73A0075E" w14:textId="77777777" w:rsidR="00A52C89" w:rsidRPr="00A52C89" w:rsidRDefault="00A52C89" w:rsidP="00A52C89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5D47851A" w14:textId="77777777" w:rsidR="00A52C89" w:rsidRPr="00A52C89" w:rsidRDefault="00A52C89" w:rsidP="00A52C89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1BCA1C47" w14:textId="77777777" w:rsidR="00A52C89" w:rsidRPr="00A52C89" w:rsidRDefault="00A52C89" w:rsidP="00A52C89">
      <w:pPr>
        <w:pStyle w:val="Obinitekst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Obrazloženje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prijedloga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financijskog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Pr="00A52C89">
        <w:rPr>
          <w:rFonts w:ascii="Arial" w:hAnsi="Arial" w:cs="Arial"/>
          <w:sz w:val="22"/>
          <w:szCs w:val="22"/>
        </w:rPr>
        <w:t>sadrži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: </w:t>
      </w:r>
    </w:p>
    <w:p w14:paraId="33AB7D80" w14:textId="77777777" w:rsidR="00A52C89" w:rsidRPr="00A52C89" w:rsidRDefault="00A52C89" w:rsidP="00A52C89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54FA69B2" w14:textId="77777777" w:rsidR="00A52C89" w:rsidRPr="00A52C89" w:rsidRDefault="00A52C89" w:rsidP="00A52C89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sažetak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djelokruga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korisnika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</w:p>
    <w:p w14:paraId="25B5B578" w14:textId="77777777" w:rsidR="00A52C89" w:rsidRPr="00A52C89" w:rsidRDefault="00A52C89" w:rsidP="00A52C89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obrazložene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</w:p>
    <w:p w14:paraId="46FF9456" w14:textId="77777777" w:rsidR="00A52C89" w:rsidRPr="00A52C89" w:rsidRDefault="00A52C89" w:rsidP="00A52C89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zakonske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druge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podloge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kojima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52C89">
        <w:rPr>
          <w:rFonts w:ascii="Arial" w:hAnsi="Arial" w:cs="Arial"/>
          <w:sz w:val="22"/>
          <w:szCs w:val="22"/>
        </w:rPr>
        <w:t>zasnivaju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</w:p>
    <w:p w14:paraId="55EA759E" w14:textId="77777777" w:rsidR="00A52C89" w:rsidRPr="00A52C89" w:rsidRDefault="00A52C89" w:rsidP="00A52C89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usklađ</w:t>
      </w:r>
      <w:r w:rsidRPr="00A52C89">
        <w:rPr>
          <w:rFonts w:ascii="Arial" w:hAnsi="Arial" w:cs="Arial"/>
          <w:sz w:val="22"/>
          <w:szCs w:val="22"/>
        </w:rPr>
        <w:t>ene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ciljeve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strategiju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programe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dokumentima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dugoroč</w:t>
      </w:r>
      <w:r w:rsidRPr="00A52C89">
        <w:rPr>
          <w:rFonts w:ascii="Arial" w:hAnsi="Arial" w:cs="Arial"/>
          <w:sz w:val="22"/>
          <w:szCs w:val="22"/>
        </w:rPr>
        <w:t>nog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razvoja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</w:p>
    <w:p w14:paraId="1EAF0817" w14:textId="77777777" w:rsidR="00A52C89" w:rsidRDefault="00A52C89" w:rsidP="00A52C89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ishodište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</w:t>
      </w:r>
      <w:r>
        <w:rPr>
          <w:rFonts w:ascii="Arial" w:hAnsi="Arial" w:cs="Arial"/>
          <w:sz w:val="22"/>
          <w:szCs w:val="22"/>
        </w:rPr>
        <w:t>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kojima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zasnivaju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izrač</w:t>
      </w:r>
      <w:r w:rsidRPr="00A52C89">
        <w:rPr>
          <w:rFonts w:ascii="Arial" w:hAnsi="Arial" w:cs="Arial"/>
          <w:sz w:val="22"/>
          <w:szCs w:val="22"/>
        </w:rPr>
        <w:t>uni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ocjene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potrebnih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sredstava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2C89">
        <w:rPr>
          <w:rFonts w:ascii="Arial" w:hAnsi="Arial" w:cs="Arial"/>
          <w:sz w:val="22"/>
          <w:szCs w:val="22"/>
        </w:rPr>
        <w:t>provodenje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</w:p>
    <w:p w14:paraId="3BD61E17" w14:textId="77777777" w:rsidR="00A52C89" w:rsidRPr="00A52C89" w:rsidRDefault="00A52C89" w:rsidP="00A52C89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izvještaj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2C89">
        <w:rPr>
          <w:rFonts w:ascii="Arial" w:hAnsi="Arial" w:cs="Arial"/>
          <w:sz w:val="22"/>
          <w:szCs w:val="22"/>
        </w:rPr>
        <w:t>postignutim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ciljevima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rezultatima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temeljenim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spješnosti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nadležnosti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korisnika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2C89">
        <w:rPr>
          <w:rFonts w:ascii="Arial" w:hAnsi="Arial" w:cs="Arial"/>
          <w:sz w:val="22"/>
          <w:szCs w:val="22"/>
        </w:rPr>
        <w:t>prethodnoj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godini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</w:p>
    <w:p w14:paraId="204D39FD" w14:textId="77777777" w:rsidR="00A52C89" w:rsidRDefault="00A52C89" w:rsidP="00A52C89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ostala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obrazloženja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dokumentaciju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4DB66C63" w14:textId="77777777" w:rsidR="007268A1" w:rsidRPr="00A52C89" w:rsidRDefault="007268A1" w:rsidP="007268A1">
      <w:pPr>
        <w:pStyle w:val="Obinitekst"/>
        <w:ind w:left="720"/>
        <w:jc w:val="both"/>
        <w:rPr>
          <w:rFonts w:ascii="Arial" w:hAnsi="Arial" w:cs="Arial"/>
          <w:sz w:val="22"/>
          <w:szCs w:val="22"/>
        </w:rPr>
      </w:pPr>
    </w:p>
    <w:p w14:paraId="6A68E4C2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Buduć</w:t>
      </w:r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da se </w:t>
      </w:r>
      <w:proofErr w:type="spellStart"/>
      <w:r>
        <w:rPr>
          <w:rFonts w:ascii="Arial" w:hAnsi="Arial" w:cs="Arial"/>
          <w:sz w:val="22"/>
          <w:szCs w:val="22"/>
        </w:rPr>
        <w:t>financijski</w:t>
      </w:r>
      <w:proofErr w:type="spellEnd"/>
      <w:r>
        <w:rPr>
          <w:rFonts w:ascii="Arial" w:hAnsi="Arial" w:cs="Arial"/>
          <w:sz w:val="22"/>
          <w:szCs w:val="22"/>
        </w:rPr>
        <w:t xml:space="preserve"> plan,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</w:t>
      </w:r>
      <w:r w:rsidRPr="00A52C89">
        <w:rPr>
          <w:rFonts w:ascii="Arial" w:hAnsi="Arial" w:cs="Arial"/>
          <w:sz w:val="22"/>
          <w:szCs w:val="22"/>
        </w:rPr>
        <w:t>iji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52C89">
        <w:rPr>
          <w:rFonts w:ascii="Arial" w:hAnsi="Arial" w:cs="Arial"/>
          <w:sz w:val="22"/>
          <w:szCs w:val="22"/>
        </w:rPr>
        <w:t>posebni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dio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sastoji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od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financijskih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planova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korisnika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usvaja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2C89">
        <w:rPr>
          <w:rFonts w:ascii="Arial" w:hAnsi="Arial" w:cs="Arial"/>
          <w:sz w:val="22"/>
          <w:szCs w:val="22"/>
        </w:rPr>
        <w:t>trogodišnje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razdoblje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važno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kroz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obrazloženje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postići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dokumenti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pažljivo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objašnjavaju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A52C89">
        <w:rPr>
          <w:rFonts w:ascii="Arial" w:hAnsi="Arial" w:cs="Arial"/>
          <w:sz w:val="22"/>
          <w:szCs w:val="22"/>
        </w:rPr>
        <w:t>godine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A52C89">
        <w:rPr>
          <w:rFonts w:ascii="Arial" w:hAnsi="Arial" w:cs="Arial"/>
          <w:sz w:val="22"/>
          <w:szCs w:val="22"/>
        </w:rPr>
        <w:t>godine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kako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procjene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stavki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višegodišnje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procjene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povezane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A52C89">
        <w:rPr>
          <w:rFonts w:ascii="Arial" w:hAnsi="Arial" w:cs="Arial"/>
          <w:sz w:val="22"/>
          <w:szCs w:val="22"/>
        </w:rPr>
        <w:t>višegodišnjim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procjenama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iz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prethodne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godine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551CDBAA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</w:p>
    <w:p w14:paraId="4F23E5E5" w14:textId="68161E02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Dakle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odstupanja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A52C89">
        <w:rPr>
          <w:rFonts w:ascii="Arial" w:hAnsi="Arial" w:cs="Arial"/>
          <w:sz w:val="22"/>
          <w:szCs w:val="22"/>
        </w:rPr>
        <w:t>onog</w:t>
      </w:r>
      <w:r w:rsidR="007268A1">
        <w:rPr>
          <w:rFonts w:ascii="Arial" w:hAnsi="Arial" w:cs="Arial"/>
          <w:sz w:val="22"/>
          <w:szCs w:val="22"/>
        </w:rPr>
        <w:t>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što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pret</w:t>
      </w:r>
      <w:r w:rsidR="007268A1">
        <w:rPr>
          <w:rFonts w:ascii="Arial" w:hAnsi="Arial" w:cs="Arial"/>
          <w:sz w:val="22"/>
          <w:szCs w:val="22"/>
        </w:rPr>
        <w:t>hodne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8A1">
        <w:rPr>
          <w:rFonts w:ascii="Arial" w:hAnsi="Arial" w:cs="Arial"/>
          <w:sz w:val="22"/>
          <w:szCs w:val="22"/>
        </w:rPr>
        <w:t>godine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8A1">
        <w:rPr>
          <w:rFonts w:ascii="Arial" w:hAnsi="Arial" w:cs="Arial"/>
          <w:sz w:val="22"/>
          <w:szCs w:val="22"/>
        </w:rPr>
        <w:t>projicirano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 za 20</w:t>
      </w:r>
      <w:r w:rsidR="005404CE">
        <w:rPr>
          <w:rFonts w:ascii="Arial" w:hAnsi="Arial" w:cs="Arial"/>
          <w:sz w:val="22"/>
          <w:szCs w:val="22"/>
        </w:rPr>
        <w:t>2</w:t>
      </w:r>
      <w:r w:rsidR="00D17670">
        <w:rPr>
          <w:rFonts w:ascii="Arial" w:hAnsi="Arial" w:cs="Arial"/>
          <w:sz w:val="22"/>
          <w:szCs w:val="22"/>
        </w:rPr>
        <w:t>2</w:t>
      </w:r>
      <w:r w:rsidR="007268A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268A1">
        <w:rPr>
          <w:rFonts w:ascii="Arial" w:hAnsi="Arial" w:cs="Arial"/>
          <w:sz w:val="22"/>
          <w:szCs w:val="22"/>
        </w:rPr>
        <w:t>i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 20</w:t>
      </w:r>
      <w:r w:rsidR="005404CE">
        <w:rPr>
          <w:rFonts w:ascii="Arial" w:hAnsi="Arial" w:cs="Arial"/>
          <w:sz w:val="22"/>
          <w:szCs w:val="22"/>
        </w:rPr>
        <w:t>2</w:t>
      </w:r>
      <w:r w:rsidR="00D17670">
        <w:rPr>
          <w:rFonts w:ascii="Arial" w:hAnsi="Arial" w:cs="Arial"/>
          <w:sz w:val="22"/>
          <w:szCs w:val="22"/>
        </w:rPr>
        <w:t>3</w:t>
      </w:r>
      <w:r w:rsidRPr="00A52C89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A52C89">
        <w:rPr>
          <w:rFonts w:ascii="Arial" w:hAnsi="Arial" w:cs="Arial"/>
          <w:sz w:val="22"/>
          <w:szCs w:val="22"/>
        </w:rPr>
        <w:t>odnosno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što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već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usvojeno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preth</w:t>
      </w:r>
      <w:r w:rsidR="007268A1">
        <w:rPr>
          <w:rFonts w:ascii="Arial" w:hAnsi="Arial" w:cs="Arial"/>
          <w:sz w:val="22"/>
          <w:szCs w:val="22"/>
        </w:rPr>
        <w:t>odne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8A1">
        <w:rPr>
          <w:rFonts w:ascii="Arial" w:hAnsi="Arial" w:cs="Arial"/>
          <w:sz w:val="22"/>
          <w:szCs w:val="22"/>
        </w:rPr>
        <w:t>godine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268A1">
        <w:rPr>
          <w:rFonts w:ascii="Arial" w:hAnsi="Arial" w:cs="Arial"/>
          <w:sz w:val="22"/>
          <w:szCs w:val="22"/>
        </w:rPr>
        <w:t>ali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8A1">
        <w:rPr>
          <w:rFonts w:ascii="Arial" w:hAnsi="Arial" w:cs="Arial"/>
          <w:sz w:val="22"/>
          <w:szCs w:val="22"/>
        </w:rPr>
        <w:t>na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8A1">
        <w:rPr>
          <w:rFonts w:ascii="Arial" w:hAnsi="Arial" w:cs="Arial"/>
          <w:sz w:val="22"/>
          <w:szCs w:val="22"/>
        </w:rPr>
        <w:t>manje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8A1">
        <w:rPr>
          <w:rFonts w:ascii="Arial" w:hAnsi="Arial" w:cs="Arial"/>
          <w:sz w:val="22"/>
          <w:szCs w:val="22"/>
        </w:rPr>
        <w:t>razrađ</w:t>
      </w:r>
      <w:r w:rsidRPr="00A52C89">
        <w:rPr>
          <w:rFonts w:ascii="Arial" w:hAnsi="Arial" w:cs="Arial"/>
          <w:sz w:val="22"/>
          <w:szCs w:val="22"/>
        </w:rPr>
        <w:t>enoj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razini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potrebno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A52C89">
        <w:rPr>
          <w:rFonts w:ascii="Arial" w:hAnsi="Arial" w:cs="Arial"/>
          <w:sz w:val="22"/>
          <w:szCs w:val="22"/>
        </w:rPr>
        <w:t>ovome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dijelu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obrazložiti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navodeći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zbog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</w:t>
      </w:r>
      <w:r w:rsidRPr="00A52C89">
        <w:rPr>
          <w:rFonts w:ascii="Arial" w:hAnsi="Arial" w:cs="Arial"/>
          <w:sz w:val="22"/>
          <w:szCs w:val="22"/>
        </w:rPr>
        <w:t>ega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dolazi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A52C89">
        <w:rPr>
          <w:rFonts w:ascii="Arial" w:hAnsi="Arial" w:cs="Arial"/>
          <w:sz w:val="22"/>
          <w:szCs w:val="22"/>
        </w:rPr>
        <w:t>razlika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2C89">
        <w:rPr>
          <w:rFonts w:ascii="Arial" w:hAnsi="Arial" w:cs="Arial"/>
          <w:sz w:val="22"/>
          <w:szCs w:val="22"/>
        </w:rPr>
        <w:t>odnosu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projekcije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usvojene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prethodne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godine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2F375391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</w:p>
    <w:p w14:paraId="788D9F30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 w:rsidRPr="00A52C89">
        <w:rPr>
          <w:rFonts w:ascii="Arial" w:hAnsi="Arial" w:cs="Arial"/>
          <w:sz w:val="22"/>
          <w:szCs w:val="22"/>
        </w:rPr>
        <w:t xml:space="preserve">Program je </w:t>
      </w:r>
      <w:proofErr w:type="spellStart"/>
      <w:r w:rsidRPr="00A52C89">
        <w:rPr>
          <w:rFonts w:ascii="Arial" w:hAnsi="Arial" w:cs="Arial"/>
          <w:sz w:val="22"/>
          <w:szCs w:val="22"/>
        </w:rPr>
        <w:t>skup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neovisnih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usko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povezanih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aktivnosti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projekata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usmjerenih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ispunjenju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zajedničkoga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cilja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268A1">
        <w:rPr>
          <w:rFonts w:ascii="Arial" w:hAnsi="Arial" w:cs="Arial"/>
          <w:sz w:val="22"/>
          <w:szCs w:val="22"/>
        </w:rPr>
        <w:t>Proračun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7268A1">
        <w:rPr>
          <w:rFonts w:ascii="Arial" w:hAnsi="Arial" w:cs="Arial"/>
          <w:sz w:val="22"/>
          <w:szCs w:val="22"/>
        </w:rPr>
        <w:t>programima</w:t>
      </w:r>
      <w:proofErr w:type="spellEnd"/>
      <w:r w:rsidR="007268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8A1">
        <w:rPr>
          <w:rFonts w:ascii="Arial" w:hAnsi="Arial" w:cs="Arial"/>
          <w:sz w:val="22"/>
          <w:szCs w:val="22"/>
        </w:rPr>
        <w:t>usredotoč</w:t>
      </w:r>
      <w:r w:rsidRPr="00A52C89">
        <w:rPr>
          <w:rFonts w:ascii="Arial" w:hAnsi="Arial" w:cs="Arial"/>
          <w:sz w:val="22"/>
          <w:szCs w:val="22"/>
        </w:rPr>
        <w:t>en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rezultate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svakog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jer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omogućava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prać</w:t>
      </w:r>
      <w:r w:rsidRPr="00A52C89">
        <w:rPr>
          <w:rFonts w:ascii="Arial" w:hAnsi="Arial" w:cs="Arial"/>
          <w:sz w:val="22"/>
          <w:szCs w:val="22"/>
        </w:rPr>
        <w:t>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rashoda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izdataka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veza</w:t>
      </w:r>
      <w:r w:rsidR="00B315B9">
        <w:rPr>
          <w:rFonts w:ascii="Arial" w:hAnsi="Arial" w:cs="Arial"/>
          <w:sz w:val="22"/>
          <w:szCs w:val="22"/>
        </w:rPr>
        <w:t>nih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uz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provedbu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programa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315B9"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A52C89">
        <w:rPr>
          <w:rFonts w:ascii="Arial" w:hAnsi="Arial" w:cs="Arial"/>
          <w:sz w:val="22"/>
          <w:szCs w:val="22"/>
        </w:rPr>
        <w:t>programima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prezentira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javnosti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predsta</w:t>
      </w:r>
      <w:r w:rsidR="00B315B9">
        <w:rPr>
          <w:rFonts w:ascii="Arial" w:hAnsi="Arial" w:cs="Arial"/>
          <w:sz w:val="22"/>
          <w:szCs w:val="22"/>
        </w:rPr>
        <w:t>vnič</w:t>
      </w:r>
      <w:r w:rsidRPr="00A52C89">
        <w:rPr>
          <w:rFonts w:ascii="Arial" w:hAnsi="Arial" w:cs="Arial"/>
          <w:sz w:val="22"/>
          <w:szCs w:val="22"/>
        </w:rPr>
        <w:t>kim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iz</w:t>
      </w:r>
      <w:r w:rsidR="00B315B9">
        <w:rPr>
          <w:rFonts w:ascii="Arial" w:hAnsi="Arial" w:cs="Arial"/>
          <w:sz w:val="22"/>
          <w:szCs w:val="22"/>
        </w:rPr>
        <w:t>vršnim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tijelima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ciljeve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i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prorač</w:t>
      </w:r>
      <w:r w:rsidRPr="00A52C89">
        <w:rPr>
          <w:rFonts w:ascii="Arial" w:hAnsi="Arial" w:cs="Arial"/>
          <w:sz w:val="22"/>
          <w:szCs w:val="22"/>
        </w:rPr>
        <w:t>unska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sredstva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osigurana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2C89">
        <w:rPr>
          <w:rFonts w:ascii="Arial" w:hAnsi="Arial" w:cs="Arial"/>
          <w:sz w:val="22"/>
          <w:szCs w:val="22"/>
        </w:rPr>
        <w:t>provedbu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zadanih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ciljeva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rezultate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provedbe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planiranih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6C20F982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Mjerenje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rezultata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programa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osigurava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jasniju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i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uč</w:t>
      </w:r>
      <w:r w:rsidRPr="00A52C89">
        <w:rPr>
          <w:rFonts w:ascii="Arial" w:hAnsi="Arial" w:cs="Arial"/>
          <w:sz w:val="22"/>
          <w:szCs w:val="22"/>
        </w:rPr>
        <w:t>inkovitiju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dodjelu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sredstava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52C89">
        <w:rPr>
          <w:rFonts w:ascii="Arial" w:hAnsi="Arial" w:cs="Arial"/>
          <w:sz w:val="22"/>
          <w:szCs w:val="22"/>
        </w:rPr>
        <w:t>Prilikom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izrade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obrazloženja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naglasak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potrebno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staviti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ciljeve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A52C89">
        <w:rPr>
          <w:rFonts w:ascii="Arial" w:hAnsi="Arial" w:cs="Arial"/>
          <w:sz w:val="22"/>
          <w:szCs w:val="22"/>
        </w:rPr>
        <w:t>programima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namjeravaju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postić</w:t>
      </w:r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uspješnosti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realizacije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tih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ciljeva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4810E0D8" w14:textId="77777777" w:rsidR="00A52C89" w:rsidRPr="00A52C89" w:rsidRDefault="00A52C89" w:rsidP="00A52C89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4A8E989B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Obrazloženje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nekog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</w:t>
      </w:r>
      <w:r w:rsidR="00B315B9">
        <w:rPr>
          <w:rFonts w:ascii="Arial" w:hAnsi="Arial" w:cs="Arial"/>
          <w:sz w:val="22"/>
          <w:szCs w:val="22"/>
        </w:rPr>
        <w:t>grama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mora </w:t>
      </w:r>
      <w:proofErr w:type="spellStart"/>
      <w:r w:rsidR="00B315B9">
        <w:rPr>
          <w:rFonts w:ascii="Arial" w:hAnsi="Arial" w:cs="Arial"/>
          <w:sz w:val="22"/>
          <w:szCs w:val="22"/>
        </w:rPr>
        <w:t>odgovoriti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na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sljedeć</w:t>
      </w:r>
      <w:r w:rsidRPr="00A52C89">
        <w:rPr>
          <w:rFonts w:ascii="Arial" w:hAnsi="Arial" w:cs="Arial"/>
          <w:sz w:val="22"/>
          <w:szCs w:val="22"/>
        </w:rPr>
        <w:t>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pitanja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: </w:t>
      </w:r>
    </w:p>
    <w:p w14:paraId="5B815FDA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</w:p>
    <w:p w14:paraId="0D471D78" w14:textId="77777777" w:rsidR="00A52C89" w:rsidRPr="00A52C89" w:rsidRDefault="00A52C89" w:rsidP="00C33653">
      <w:pPr>
        <w:pStyle w:val="Obinitekst"/>
        <w:numPr>
          <w:ilvl w:val="0"/>
          <w:numId w:val="7"/>
        </w:numPr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š</w:t>
      </w:r>
      <w:r w:rsidR="00956782">
        <w:rPr>
          <w:rFonts w:ascii="Arial" w:hAnsi="Arial" w:cs="Arial"/>
          <w:sz w:val="22"/>
          <w:szCs w:val="22"/>
        </w:rPr>
        <w:t>to</w:t>
      </w:r>
      <w:proofErr w:type="spellEnd"/>
      <w:r w:rsidR="0095678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956782">
        <w:rPr>
          <w:rFonts w:ascii="Arial" w:hAnsi="Arial" w:cs="Arial"/>
          <w:sz w:val="22"/>
          <w:szCs w:val="22"/>
        </w:rPr>
        <w:t>ovim</w:t>
      </w:r>
      <w:proofErr w:type="spellEnd"/>
      <w:r w:rsid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>
        <w:rPr>
          <w:rFonts w:ascii="Arial" w:hAnsi="Arial" w:cs="Arial"/>
          <w:sz w:val="22"/>
          <w:szCs w:val="22"/>
        </w:rPr>
        <w:t>programom</w:t>
      </w:r>
      <w:proofErr w:type="spellEnd"/>
      <w:r w:rsid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>
        <w:rPr>
          <w:rFonts w:ascii="Arial" w:hAnsi="Arial" w:cs="Arial"/>
          <w:sz w:val="22"/>
          <w:szCs w:val="22"/>
        </w:rPr>
        <w:t>želi</w:t>
      </w:r>
      <w:proofErr w:type="spellEnd"/>
      <w:r w:rsid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>
        <w:rPr>
          <w:rFonts w:ascii="Arial" w:hAnsi="Arial" w:cs="Arial"/>
          <w:sz w:val="22"/>
          <w:szCs w:val="22"/>
        </w:rPr>
        <w:t>postić</w:t>
      </w:r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</w:p>
    <w:p w14:paraId="7C422DF3" w14:textId="77777777" w:rsidR="00A52C89" w:rsidRPr="00A52C89" w:rsidRDefault="00A52C89" w:rsidP="00C33653">
      <w:pPr>
        <w:pStyle w:val="Obinitekst"/>
        <w:numPr>
          <w:ilvl w:val="0"/>
          <w:numId w:val="7"/>
        </w:numPr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kako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52C89">
        <w:rPr>
          <w:rFonts w:ascii="Arial" w:hAnsi="Arial" w:cs="Arial"/>
          <w:sz w:val="22"/>
          <w:szCs w:val="22"/>
        </w:rPr>
        <w:t>nastoji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realizirati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</w:p>
    <w:p w14:paraId="11E9CDAC" w14:textId="77777777" w:rsidR="00A52C89" w:rsidRPr="00A52C89" w:rsidRDefault="00A52C89" w:rsidP="00C33653">
      <w:pPr>
        <w:pStyle w:val="Obinitekst"/>
        <w:numPr>
          <w:ilvl w:val="0"/>
          <w:numId w:val="7"/>
        </w:numPr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tko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korisnik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ili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primatelj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usluge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518405D7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</w:p>
    <w:p w14:paraId="50E0F873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 w:rsidRPr="00A52C89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52C89">
        <w:rPr>
          <w:rFonts w:ascii="Arial" w:hAnsi="Arial" w:cs="Arial"/>
          <w:sz w:val="22"/>
          <w:szCs w:val="22"/>
        </w:rPr>
        <w:t>opisu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njihovih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ciljeva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važn</w:t>
      </w:r>
      <w:r w:rsidR="00B315B9">
        <w:rPr>
          <w:rFonts w:ascii="Arial" w:hAnsi="Arial" w:cs="Arial"/>
          <w:sz w:val="22"/>
          <w:szCs w:val="22"/>
        </w:rPr>
        <w:t>o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B315B9">
        <w:rPr>
          <w:rFonts w:ascii="Arial" w:hAnsi="Arial" w:cs="Arial"/>
          <w:sz w:val="22"/>
          <w:szCs w:val="22"/>
        </w:rPr>
        <w:t>istaknuti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uštede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B315B9">
        <w:rPr>
          <w:rFonts w:ascii="Arial" w:hAnsi="Arial" w:cs="Arial"/>
          <w:sz w:val="22"/>
          <w:szCs w:val="22"/>
        </w:rPr>
        <w:t>kojih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ć</w:t>
      </w:r>
      <w:r w:rsidRPr="00A52C89">
        <w:rPr>
          <w:rFonts w:ascii="Arial" w:hAnsi="Arial" w:cs="Arial"/>
          <w:sz w:val="22"/>
          <w:szCs w:val="22"/>
        </w:rPr>
        <w:t>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dovesti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realizacija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utvrđenih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ciljeva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B315B9">
        <w:rPr>
          <w:rFonts w:ascii="Arial" w:hAnsi="Arial" w:cs="Arial"/>
          <w:sz w:val="22"/>
          <w:szCs w:val="22"/>
        </w:rPr>
        <w:t>moguć</w:t>
      </w:r>
      <w:r w:rsidRPr="00A52C89">
        <w:rPr>
          <w:rFonts w:ascii="Arial" w:hAnsi="Arial" w:cs="Arial"/>
          <w:sz w:val="22"/>
          <w:szCs w:val="22"/>
        </w:rPr>
        <w:t>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dodati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objašnjenje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posljedica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A52C89">
        <w:rPr>
          <w:rFonts w:ascii="Arial" w:hAnsi="Arial" w:cs="Arial"/>
          <w:sz w:val="22"/>
          <w:szCs w:val="22"/>
        </w:rPr>
        <w:t>nas</w:t>
      </w:r>
      <w:r w:rsidR="00B315B9">
        <w:rPr>
          <w:rFonts w:ascii="Arial" w:hAnsi="Arial" w:cs="Arial"/>
          <w:sz w:val="22"/>
          <w:szCs w:val="22"/>
        </w:rPr>
        <w:t>tale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B315B9">
        <w:rPr>
          <w:rFonts w:ascii="Arial" w:hAnsi="Arial" w:cs="Arial"/>
          <w:sz w:val="22"/>
          <w:szCs w:val="22"/>
        </w:rPr>
        <w:t>sluč</w:t>
      </w:r>
      <w:r w:rsidRPr="00A52C89">
        <w:rPr>
          <w:rFonts w:ascii="Arial" w:hAnsi="Arial" w:cs="Arial"/>
          <w:sz w:val="22"/>
          <w:szCs w:val="22"/>
        </w:rPr>
        <w:t>aju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neprovedbe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ovoga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ili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neprovedbe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2C89">
        <w:rPr>
          <w:rFonts w:ascii="Arial" w:hAnsi="Arial" w:cs="Arial"/>
          <w:sz w:val="22"/>
          <w:szCs w:val="22"/>
        </w:rPr>
        <w:t>predloženom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obuhvatu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ili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predvidenom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razdoblju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61A82A78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</w:p>
    <w:p w14:paraId="33E2A486" w14:textId="62DF1C6C" w:rsidR="00A52C89" w:rsidRPr="00A52C89" w:rsidRDefault="00A52C89" w:rsidP="00A61B1D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 w:rsidRPr="00A52C89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52C89">
        <w:rPr>
          <w:rFonts w:ascii="Arial" w:hAnsi="Arial" w:cs="Arial"/>
          <w:sz w:val="22"/>
          <w:szCs w:val="22"/>
        </w:rPr>
        <w:t>okviru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procjene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potrebnih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sredstava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potrebno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navesti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ishodište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kojima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r w:rsidR="00B315B9">
        <w:rPr>
          <w:rFonts w:ascii="Arial" w:hAnsi="Arial" w:cs="Arial"/>
          <w:sz w:val="22"/>
          <w:szCs w:val="22"/>
        </w:rPr>
        <w:t xml:space="preserve">se </w:t>
      </w:r>
      <w:proofErr w:type="spellStart"/>
      <w:r w:rsidR="00B315B9">
        <w:rPr>
          <w:rFonts w:ascii="Arial" w:hAnsi="Arial" w:cs="Arial"/>
          <w:sz w:val="22"/>
          <w:szCs w:val="22"/>
        </w:rPr>
        <w:t>zasnivaju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izrač</w:t>
      </w:r>
      <w:r w:rsidRPr="00A52C89">
        <w:rPr>
          <w:rFonts w:ascii="Arial" w:hAnsi="Arial" w:cs="Arial"/>
          <w:sz w:val="22"/>
          <w:szCs w:val="22"/>
        </w:rPr>
        <w:t>uni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ocjene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potrebnih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sredstava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2C89">
        <w:rPr>
          <w:rFonts w:ascii="Arial" w:hAnsi="Arial" w:cs="Arial"/>
          <w:sz w:val="22"/>
          <w:szCs w:val="22"/>
        </w:rPr>
        <w:t>provodenje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odnosno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aktivnosti</w:t>
      </w:r>
      <w:proofErr w:type="spellEnd"/>
      <w:r w:rsidRPr="00A52C89">
        <w:rPr>
          <w:rFonts w:ascii="Arial" w:hAnsi="Arial" w:cs="Arial"/>
          <w:sz w:val="22"/>
          <w:szCs w:val="22"/>
        </w:rPr>
        <w:t>/</w:t>
      </w:r>
      <w:proofErr w:type="spellStart"/>
      <w:r w:rsidRPr="00A52C89">
        <w:rPr>
          <w:rFonts w:ascii="Arial" w:hAnsi="Arial" w:cs="Arial"/>
          <w:sz w:val="22"/>
          <w:szCs w:val="22"/>
        </w:rPr>
        <w:t>projekata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18CE672C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lastRenderedPageBreak/>
        <w:t>Dakle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kako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bi se </w:t>
      </w:r>
      <w:proofErr w:type="spellStart"/>
      <w:r w:rsidRPr="00A52C89">
        <w:rPr>
          <w:rFonts w:ascii="Arial" w:hAnsi="Arial" w:cs="Arial"/>
          <w:sz w:val="22"/>
          <w:szCs w:val="22"/>
        </w:rPr>
        <w:t>pratilo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ostvarenje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ciljeva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2C89">
        <w:rPr>
          <w:rFonts w:ascii="Arial" w:hAnsi="Arial" w:cs="Arial"/>
          <w:sz w:val="22"/>
          <w:szCs w:val="22"/>
        </w:rPr>
        <w:t>trogodišnje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razdoblje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potrebno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definirati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uspješnosti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52C89">
        <w:rPr>
          <w:rFonts w:ascii="Arial" w:hAnsi="Arial" w:cs="Arial"/>
          <w:sz w:val="22"/>
          <w:szCs w:val="22"/>
        </w:rPr>
        <w:t>Pokazatelji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uspješnosti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predstavljaju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podlogu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2C89">
        <w:rPr>
          <w:rFonts w:ascii="Arial" w:hAnsi="Arial" w:cs="Arial"/>
          <w:sz w:val="22"/>
          <w:szCs w:val="22"/>
        </w:rPr>
        <w:t>mjerenje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uč</w:t>
      </w:r>
      <w:r w:rsidRPr="00A52C89">
        <w:rPr>
          <w:rFonts w:ascii="Arial" w:hAnsi="Arial" w:cs="Arial"/>
          <w:sz w:val="22"/>
          <w:szCs w:val="22"/>
        </w:rPr>
        <w:t>inkovitosti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provedbe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52C89">
        <w:rPr>
          <w:rFonts w:ascii="Arial" w:hAnsi="Arial" w:cs="Arial"/>
          <w:sz w:val="22"/>
          <w:szCs w:val="22"/>
        </w:rPr>
        <w:t>Dobri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trebaju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biti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: </w:t>
      </w:r>
    </w:p>
    <w:p w14:paraId="4158C931" w14:textId="77777777" w:rsidR="00A52C89" w:rsidRPr="00A52C89" w:rsidRDefault="00A52C89" w:rsidP="00A52C89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43FE5630" w14:textId="6B41811E" w:rsidR="00A52C89" w:rsidRPr="00A52C89" w:rsidRDefault="00B315B9" w:rsidP="00A61B1D">
      <w:pPr>
        <w:pStyle w:val="Obinitekst"/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specifič</w:t>
      </w:r>
      <w:r w:rsidR="00A52C89" w:rsidRPr="00A52C89">
        <w:rPr>
          <w:rFonts w:ascii="Arial" w:hAnsi="Arial" w:cs="Arial"/>
          <w:sz w:val="22"/>
          <w:szCs w:val="22"/>
        </w:rPr>
        <w:t>ni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– da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zaista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mjere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ono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što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treba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mjeriti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, </w:t>
      </w:r>
    </w:p>
    <w:p w14:paraId="3DFD1148" w14:textId="4B0344A6" w:rsidR="00A52C89" w:rsidRPr="00A52C89" w:rsidRDefault="00A52C89" w:rsidP="00A61B1D">
      <w:pPr>
        <w:pStyle w:val="Obinitekst"/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mjerljivi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–</w:t>
      </w:r>
      <w:r w:rsidR="00B315B9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B315B9">
        <w:rPr>
          <w:rFonts w:ascii="Arial" w:hAnsi="Arial" w:cs="Arial"/>
          <w:sz w:val="22"/>
          <w:szCs w:val="22"/>
        </w:rPr>
        <w:t>pogledu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kvalitete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i</w:t>
      </w:r>
      <w:proofErr w:type="spellEnd"/>
      <w:r w:rsidR="00B315B9">
        <w:rPr>
          <w:rFonts w:ascii="Arial" w:hAnsi="Arial" w:cs="Arial"/>
          <w:sz w:val="22"/>
          <w:szCs w:val="22"/>
        </w:rPr>
        <w:t>/</w:t>
      </w:r>
      <w:proofErr w:type="spellStart"/>
      <w:r w:rsidR="00B315B9">
        <w:rPr>
          <w:rFonts w:ascii="Arial" w:hAnsi="Arial" w:cs="Arial"/>
          <w:sz w:val="22"/>
          <w:szCs w:val="22"/>
        </w:rPr>
        <w:t>ili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količ</w:t>
      </w:r>
      <w:r w:rsidRPr="00A52C89">
        <w:rPr>
          <w:rFonts w:ascii="Arial" w:hAnsi="Arial" w:cs="Arial"/>
          <w:sz w:val="22"/>
          <w:szCs w:val="22"/>
        </w:rPr>
        <w:t>ine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</w:p>
    <w:p w14:paraId="274E6063" w14:textId="576D6BBF" w:rsidR="00A52C89" w:rsidRPr="00A52C89" w:rsidRDefault="00A52C89" w:rsidP="00A61B1D">
      <w:pPr>
        <w:pStyle w:val="Obinitekst"/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dostupni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– u </w:t>
      </w:r>
      <w:proofErr w:type="spellStart"/>
      <w:r w:rsidRPr="00A52C89">
        <w:rPr>
          <w:rFonts w:ascii="Arial" w:hAnsi="Arial" w:cs="Arial"/>
          <w:sz w:val="22"/>
          <w:szCs w:val="22"/>
        </w:rPr>
        <w:t>okviru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prihvatljivih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troškova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</w:p>
    <w:p w14:paraId="64877E17" w14:textId="1BCB5741" w:rsidR="00A52C89" w:rsidRPr="00A52C89" w:rsidRDefault="00A52C89" w:rsidP="00A61B1D">
      <w:pPr>
        <w:pStyle w:val="Obinitekst"/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relevantni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– u </w:t>
      </w:r>
      <w:proofErr w:type="spellStart"/>
      <w:r w:rsidRPr="00A52C89">
        <w:rPr>
          <w:rFonts w:ascii="Arial" w:hAnsi="Arial" w:cs="Arial"/>
          <w:sz w:val="22"/>
          <w:szCs w:val="22"/>
        </w:rPr>
        <w:t>odnosu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definirani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</w:p>
    <w:p w14:paraId="3CFD2B25" w14:textId="77777777" w:rsidR="00A52C89" w:rsidRPr="00A52C89" w:rsidRDefault="00C33653" w:rsidP="00A61B1D">
      <w:pPr>
        <w:pStyle w:val="Obinitekst"/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vremenski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određ</w:t>
      </w:r>
      <w:r w:rsidR="00A52C89" w:rsidRPr="00A52C89">
        <w:rPr>
          <w:rFonts w:ascii="Arial" w:hAnsi="Arial" w:cs="Arial"/>
          <w:sz w:val="22"/>
          <w:szCs w:val="22"/>
        </w:rPr>
        <w:t>eni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– da se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definirani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ciljevi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izvrše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zadanom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vremenskom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C89" w:rsidRPr="00A52C89">
        <w:rPr>
          <w:rFonts w:ascii="Arial" w:hAnsi="Arial" w:cs="Arial"/>
          <w:sz w:val="22"/>
          <w:szCs w:val="22"/>
        </w:rPr>
        <w:t>roku</w:t>
      </w:r>
      <w:proofErr w:type="spellEnd"/>
      <w:r w:rsidR="00A52C89" w:rsidRPr="00A52C89">
        <w:rPr>
          <w:rFonts w:ascii="Arial" w:hAnsi="Arial" w:cs="Arial"/>
          <w:sz w:val="22"/>
          <w:szCs w:val="22"/>
        </w:rPr>
        <w:t xml:space="preserve">. </w:t>
      </w:r>
    </w:p>
    <w:p w14:paraId="576D0EC5" w14:textId="77777777" w:rsidR="00A52C89" w:rsidRPr="00A52C89" w:rsidRDefault="00A52C89" w:rsidP="00A52C89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0DDC7DBA" w14:textId="77777777" w:rsidR="00B315B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A52C89">
        <w:rPr>
          <w:rFonts w:ascii="Arial" w:hAnsi="Arial" w:cs="Arial"/>
          <w:sz w:val="22"/>
          <w:szCs w:val="22"/>
        </w:rPr>
        <w:t>Glavna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karakteristika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uspješnosti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mjerlj</w:t>
      </w:r>
      <w:r w:rsidR="00B315B9">
        <w:rPr>
          <w:rFonts w:ascii="Arial" w:hAnsi="Arial" w:cs="Arial"/>
          <w:sz w:val="22"/>
          <w:szCs w:val="22"/>
        </w:rPr>
        <w:t>ivost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stoga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ih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B315B9">
        <w:rPr>
          <w:rFonts w:ascii="Arial" w:hAnsi="Arial" w:cs="Arial"/>
          <w:sz w:val="22"/>
          <w:szCs w:val="22"/>
        </w:rPr>
        <w:t>potrebno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brojč</w:t>
      </w:r>
      <w:r w:rsidRPr="00A52C89">
        <w:rPr>
          <w:rFonts w:ascii="Arial" w:hAnsi="Arial" w:cs="Arial"/>
          <w:sz w:val="22"/>
          <w:szCs w:val="22"/>
        </w:rPr>
        <w:t>ano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iskazati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ili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jasno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i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nedvosmisleno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izraziti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315B9">
        <w:rPr>
          <w:rFonts w:ascii="Arial" w:hAnsi="Arial" w:cs="Arial"/>
          <w:sz w:val="22"/>
          <w:szCs w:val="22"/>
        </w:rPr>
        <w:t>Isti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će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omogućiti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prać</w:t>
      </w:r>
      <w:r w:rsidRPr="00A52C89">
        <w:rPr>
          <w:rFonts w:ascii="Arial" w:hAnsi="Arial" w:cs="Arial"/>
          <w:sz w:val="22"/>
          <w:szCs w:val="22"/>
        </w:rPr>
        <w:t>enje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izvještavanje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2C89">
        <w:rPr>
          <w:rFonts w:ascii="Arial" w:hAnsi="Arial" w:cs="Arial"/>
          <w:sz w:val="22"/>
          <w:szCs w:val="22"/>
        </w:rPr>
        <w:t>napretku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ostvarenju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zadanih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programa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5ECFFA19" w14:textId="77777777" w:rsidR="00A52C89" w:rsidRPr="00A52C89" w:rsidRDefault="00A52C89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 w:rsidRPr="00A52C89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52C89">
        <w:rPr>
          <w:rFonts w:ascii="Arial" w:hAnsi="Arial" w:cs="Arial"/>
          <w:sz w:val="22"/>
          <w:szCs w:val="22"/>
        </w:rPr>
        <w:t>obrazloženju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financijskog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Pr="00A52C89">
        <w:rPr>
          <w:rFonts w:ascii="Arial" w:hAnsi="Arial" w:cs="Arial"/>
          <w:sz w:val="22"/>
          <w:szCs w:val="22"/>
        </w:rPr>
        <w:t>koriste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52C89">
        <w:rPr>
          <w:rFonts w:ascii="Arial" w:hAnsi="Arial" w:cs="Arial"/>
          <w:sz w:val="22"/>
          <w:szCs w:val="22"/>
        </w:rPr>
        <w:t>dvije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vrste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pokazatelja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315B9">
        <w:rPr>
          <w:rFonts w:ascii="Arial" w:hAnsi="Arial" w:cs="Arial"/>
          <w:sz w:val="22"/>
          <w:szCs w:val="22"/>
        </w:rPr>
        <w:t>pokazatelj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uč</w:t>
      </w:r>
      <w:r w:rsidRPr="00A52C89">
        <w:rPr>
          <w:rFonts w:ascii="Arial" w:hAnsi="Arial" w:cs="Arial"/>
          <w:sz w:val="22"/>
          <w:szCs w:val="22"/>
        </w:rPr>
        <w:t>inka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(outcome)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</w:t>
      </w:r>
      <w:r w:rsidR="00B315B9">
        <w:rPr>
          <w:rFonts w:ascii="Arial" w:hAnsi="Arial" w:cs="Arial"/>
          <w:sz w:val="22"/>
          <w:szCs w:val="22"/>
        </w:rPr>
        <w:t>ezultata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(output). </w:t>
      </w:r>
      <w:proofErr w:type="spellStart"/>
      <w:r w:rsidR="00B315B9">
        <w:rPr>
          <w:rFonts w:ascii="Arial" w:hAnsi="Arial" w:cs="Arial"/>
          <w:sz w:val="22"/>
          <w:szCs w:val="22"/>
        </w:rPr>
        <w:t>Pokazatelj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uč</w:t>
      </w:r>
      <w:r w:rsidRPr="00A52C89">
        <w:rPr>
          <w:rFonts w:ascii="Arial" w:hAnsi="Arial" w:cs="Arial"/>
          <w:sz w:val="22"/>
          <w:szCs w:val="22"/>
        </w:rPr>
        <w:t>inka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treba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dati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informaciju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B315B9">
        <w:rPr>
          <w:rFonts w:ascii="Arial" w:hAnsi="Arial" w:cs="Arial"/>
          <w:sz w:val="22"/>
          <w:szCs w:val="22"/>
        </w:rPr>
        <w:t>uč</w:t>
      </w:r>
      <w:r w:rsidRPr="00A52C89">
        <w:rPr>
          <w:rFonts w:ascii="Arial" w:hAnsi="Arial" w:cs="Arial"/>
          <w:sz w:val="22"/>
          <w:szCs w:val="22"/>
        </w:rPr>
        <w:t>inkovitosti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2C89">
        <w:rPr>
          <w:rFonts w:ascii="Arial" w:hAnsi="Arial" w:cs="Arial"/>
          <w:sz w:val="22"/>
          <w:szCs w:val="22"/>
        </w:rPr>
        <w:t>dugoro</w:t>
      </w:r>
      <w:r w:rsidR="00B315B9">
        <w:rPr>
          <w:rFonts w:ascii="Arial" w:hAnsi="Arial" w:cs="Arial"/>
          <w:sz w:val="22"/>
          <w:szCs w:val="22"/>
        </w:rPr>
        <w:t>č</w:t>
      </w:r>
      <w:r w:rsidRPr="00A52C89">
        <w:rPr>
          <w:rFonts w:ascii="Arial" w:hAnsi="Arial" w:cs="Arial"/>
          <w:sz w:val="22"/>
          <w:szCs w:val="22"/>
        </w:rPr>
        <w:t>nim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rezultatima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te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društvenim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promjenama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52C89">
        <w:rPr>
          <w:rFonts w:ascii="Arial" w:hAnsi="Arial" w:cs="Arial"/>
          <w:sz w:val="22"/>
          <w:szCs w:val="22"/>
        </w:rPr>
        <w:t>postižu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ostvarenjem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cilja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52C89">
        <w:rPr>
          <w:rFonts w:ascii="Arial" w:hAnsi="Arial" w:cs="Arial"/>
          <w:sz w:val="22"/>
          <w:szCs w:val="22"/>
        </w:rPr>
        <w:t>Jedan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A52C89">
        <w:rPr>
          <w:rFonts w:ascii="Arial" w:hAnsi="Arial" w:cs="Arial"/>
          <w:sz w:val="22"/>
          <w:szCs w:val="22"/>
        </w:rPr>
        <w:t>takvih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52C89">
        <w:rPr>
          <w:rFonts w:ascii="Arial" w:hAnsi="Arial" w:cs="Arial"/>
          <w:sz w:val="22"/>
          <w:szCs w:val="22"/>
        </w:rPr>
        <w:t>primjerice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postizanje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višeg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stupnja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pismenosti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52C89">
        <w:rPr>
          <w:rFonts w:ascii="Arial" w:hAnsi="Arial" w:cs="Arial"/>
          <w:sz w:val="22"/>
          <w:szCs w:val="22"/>
        </w:rPr>
        <w:t>Ovakve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pokazatelje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B315B9">
        <w:rPr>
          <w:rFonts w:ascii="Arial" w:hAnsi="Arial" w:cs="Arial"/>
          <w:sz w:val="22"/>
          <w:szCs w:val="22"/>
        </w:rPr>
        <w:t>teže</w:t>
      </w:r>
      <w:proofErr w:type="spellEnd"/>
      <w:r w:rsidR="00B315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5B9">
        <w:rPr>
          <w:rFonts w:ascii="Arial" w:hAnsi="Arial" w:cs="Arial"/>
          <w:sz w:val="22"/>
          <w:szCs w:val="22"/>
        </w:rPr>
        <w:t>utvr</w:t>
      </w:r>
      <w:r w:rsidR="00AB45F8">
        <w:rPr>
          <w:rFonts w:ascii="Arial" w:hAnsi="Arial" w:cs="Arial"/>
          <w:sz w:val="22"/>
          <w:szCs w:val="22"/>
        </w:rPr>
        <w:t>diti</w:t>
      </w:r>
      <w:proofErr w:type="spellEnd"/>
      <w:r w:rsidR="00AB45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5F8">
        <w:rPr>
          <w:rFonts w:ascii="Arial" w:hAnsi="Arial" w:cs="Arial"/>
          <w:sz w:val="22"/>
          <w:szCs w:val="22"/>
        </w:rPr>
        <w:t>zato</w:t>
      </w:r>
      <w:proofErr w:type="spellEnd"/>
      <w:r w:rsidR="00AB45F8">
        <w:rPr>
          <w:rFonts w:ascii="Arial" w:hAnsi="Arial" w:cs="Arial"/>
          <w:sz w:val="22"/>
          <w:szCs w:val="22"/>
        </w:rPr>
        <w:t xml:space="preserve"> se za </w:t>
      </w:r>
      <w:proofErr w:type="spellStart"/>
      <w:r w:rsidR="00AB45F8">
        <w:rPr>
          <w:rFonts w:ascii="Arial" w:hAnsi="Arial" w:cs="Arial"/>
          <w:sz w:val="22"/>
          <w:szCs w:val="22"/>
        </w:rPr>
        <w:t>početak</w:t>
      </w:r>
      <w:proofErr w:type="spellEnd"/>
      <w:r w:rsidR="00AB45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5F8">
        <w:rPr>
          <w:rFonts w:ascii="Arial" w:hAnsi="Arial" w:cs="Arial"/>
          <w:sz w:val="22"/>
          <w:szCs w:val="22"/>
        </w:rPr>
        <w:t>preporuč</w:t>
      </w:r>
      <w:r w:rsidRPr="00A52C89">
        <w:rPr>
          <w:rFonts w:ascii="Arial" w:hAnsi="Arial" w:cs="Arial"/>
          <w:sz w:val="22"/>
          <w:szCs w:val="22"/>
        </w:rPr>
        <w:t>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utvrdivanje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rezultata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52C89">
        <w:rPr>
          <w:rFonts w:ascii="Arial" w:hAnsi="Arial" w:cs="Arial"/>
          <w:sz w:val="22"/>
          <w:szCs w:val="22"/>
        </w:rPr>
        <w:t>Ovi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pokazatelji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odnose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52C89">
        <w:rPr>
          <w:rFonts w:ascii="Arial" w:hAnsi="Arial" w:cs="Arial"/>
          <w:sz w:val="22"/>
          <w:szCs w:val="22"/>
        </w:rPr>
        <w:t>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proizvedena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dobra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usluge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unutar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aktivnosti</w:t>
      </w:r>
      <w:proofErr w:type="spellEnd"/>
      <w:r w:rsidRPr="00A52C89">
        <w:rPr>
          <w:rFonts w:ascii="Arial" w:hAnsi="Arial" w:cs="Arial"/>
          <w:sz w:val="22"/>
          <w:szCs w:val="22"/>
        </w:rPr>
        <w:t>/</w:t>
      </w:r>
      <w:proofErr w:type="spellStart"/>
      <w:r w:rsidRPr="00A52C89">
        <w:rPr>
          <w:rFonts w:ascii="Arial" w:hAnsi="Arial" w:cs="Arial"/>
          <w:sz w:val="22"/>
          <w:szCs w:val="22"/>
        </w:rPr>
        <w:t>projekta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orijentirani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su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prema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konkretnom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C89">
        <w:rPr>
          <w:rFonts w:ascii="Arial" w:hAnsi="Arial" w:cs="Arial"/>
          <w:sz w:val="22"/>
          <w:szCs w:val="22"/>
        </w:rPr>
        <w:t>rezultatu</w:t>
      </w:r>
      <w:proofErr w:type="spellEnd"/>
      <w:r w:rsidRPr="00A52C89">
        <w:rPr>
          <w:rFonts w:ascii="Arial" w:hAnsi="Arial" w:cs="Arial"/>
          <w:sz w:val="22"/>
          <w:szCs w:val="22"/>
        </w:rPr>
        <w:t xml:space="preserve">. </w:t>
      </w:r>
    </w:p>
    <w:p w14:paraId="6BBA6D64" w14:textId="5FEBBC40" w:rsidR="00A52C89" w:rsidRDefault="00A52C89" w:rsidP="00A52C89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71A1D4EA" w14:textId="77777777" w:rsidR="00A61B1D" w:rsidRDefault="00A61B1D" w:rsidP="00A52C89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25701C90" w14:textId="77777777" w:rsidR="00A13F03" w:rsidRPr="00A52C89" w:rsidRDefault="00A13F03" w:rsidP="00A52C89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59049894" w14:textId="77777777" w:rsidR="005B1CD8" w:rsidRDefault="00047084" w:rsidP="005B1CD8">
      <w:pPr>
        <w:pStyle w:val="Obinitek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AD7DC7">
        <w:rPr>
          <w:rFonts w:ascii="Arial" w:hAnsi="Arial" w:cs="Arial"/>
          <w:b/>
          <w:sz w:val="22"/>
          <w:szCs w:val="22"/>
        </w:rPr>
        <w:t>. PLAN RAZVOJNIH PROGRAMA</w:t>
      </w:r>
    </w:p>
    <w:p w14:paraId="205E3E8F" w14:textId="77777777" w:rsidR="00292B29" w:rsidRDefault="00292B29" w:rsidP="005B1CD8">
      <w:pPr>
        <w:pStyle w:val="Obinitekst"/>
        <w:jc w:val="center"/>
        <w:rPr>
          <w:rFonts w:ascii="Arial" w:hAnsi="Arial" w:cs="Arial"/>
          <w:b/>
          <w:sz w:val="22"/>
          <w:szCs w:val="22"/>
        </w:rPr>
      </w:pPr>
    </w:p>
    <w:p w14:paraId="5A92B0CA" w14:textId="77777777" w:rsidR="0057782D" w:rsidRDefault="0057782D" w:rsidP="005B1CD8">
      <w:pPr>
        <w:pStyle w:val="Obinitekst"/>
        <w:jc w:val="center"/>
        <w:rPr>
          <w:rFonts w:ascii="Arial" w:hAnsi="Arial" w:cs="Arial"/>
          <w:b/>
          <w:sz w:val="22"/>
          <w:szCs w:val="22"/>
        </w:rPr>
      </w:pPr>
    </w:p>
    <w:p w14:paraId="44065BBB" w14:textId="0301321A" w:rsidR="00A61B1D" w:rsidRDefault="00A61B1D" w:rsidP="00A61B1D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Uputama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Ministarstva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navedeno</w:t>
      </w:r>
      <w:proofErr w:type="spellEnd"/>
      <w:r>
        <w:rPr>
          <w:rFonts w:ascii="Arial" w:hAnsi="Arial" w:cs="Arial"/>
          <w:sz w:val="22"/>
          <w:szCs w:val="22"/>
        </w:rPr>
        <w:t xml:space="preserve"> je da JLP(R)S </w:t>
      </w:r>
      <w:proofErr w:type="spellStart"/>
      <w:r>
        <w:rPr>
          <w:rFonts w:ascii="Arial" w:hAnsi="Arial" w:cs="Arial"/>
          <w:sz w:val="22"/>
          <w:szCs w:val="22"/>
        </w:rPr>
        <w:t>nisu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obvezi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više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donositi</w:t>
      </w:r>
      <w:proofErr w:type="spellEnd"/>
      <w:r>
        <w:rPr>
          <w:rFonts w:ascii="Arial" w:hAnsi="Arial" w:cs="Arial"/>
          <w:sz w:val="22"/>
          <w:szCs w:val="22"/>
        </w:rPr>
        <w:t xml:space="preserve"> plan </w:t>
      </w:r>
      <w:proofErr w:type="spellStart"/>
      <w:r>
        <w:rPr>
          <w:rFonts w:ascii="Arial" w:hAnsi="Arial" w:cs="Arial"/>
          <w:sz w:val="22"/>
          <w:szCs w:val="22"/>
        </w:rPr>
        <w:t>razvojnih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razloga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proračunu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čije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usvajanje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očekuje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krajem</w:t>
      </w:r>
      <w:proofErr w:type="spellEnd"/>
      <w:r>
        <w:rPr>
          <w:rFonts w:ascii="Arial" w:hAnsi="Arial" w:cs="Arial"/>
          <w:sz w:val="22"/>
          <w:szCs w:val="22"/>
        </w:rPr>
        <w:t xml:space="preserve"> 2021.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 xml:space="preserve">, ne </w:t>
      </w:r>
      <w:proofErr w:type="spellStart"/>
      <w:r>
        <w:rPr>
          <w:rFonts w:ascii="Arial" w:hAnsi="Arial" w:cs="Arial"/>
          <w:sz w:val="22"/>
          <w:szCs w:val="22"/>
        </w:rPr>
        <w:t>predviđa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obvezu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izrade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donošenja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istog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Kako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upute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izrađuju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temeljem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postojećih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predlažemo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izradu</w:t>
      </w:r>
      <w:proofErr w:type="spellEnd"/>
      <w:r>
        <w:rPr>
          <w:rFonts w:ascii="Arial" w:hAnsi="Arial" w:cs="Arial"/>
          <w:sz w:val="22"/>
          <w:szCs w:val="22"/>
        </w:rPr>
        <w:t xml:space="preserve"> Plana </w:t>
      </w:r>
      <w:proofErr w:type="spellStart"/>
      <w:r>
        <w:rPr>
          <w:rFonts w:ascii="Arial" w:hAnsi="Arial" w:cs="Arial"/>
          <w:sz w:val="22"/>
          <w:szCs w:val="22"/>
        </w:rPr>
        <w:t>razvojnih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895221B" w14:textId="77777777" w:rsidR="00AD7DC7" w:rsidRDefault="00AD7DC7" w:rsidP="005B1CD8">
      <w:pPr>
        <w:pStyle w:val="Obinitekst"/>
        <w:jc w:val="center"/>
        <w:rPr>
          <w:rFonts w:ascii="Arial" w:hAnsi="Arial" w:cs="Arial"/>
          <w:b/>
          <w:sz w:val="22"/>
          <w:szCs w:val="22"/>
        </w:rPr>
      </w:pPr>
    </w:p>
    <w:p w14:paraId="1C4A2ECB" w14:textId="77777777" w:rsidR="00AD7DC7" w:rsidRDefault="00AD7DC7" w:rsidP="00292B29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Planovi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razvojnih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predstavljaju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strateško-planski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područne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regionalne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samouprave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stvarajući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dobru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pretpostavku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povezivanje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strateških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proračunskim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planiranjem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4F1D213" w14:textId="77777777" w:rsidR="00AD7DC7" w:rsidRDefault="00AD7DC7" w:rsidP="00292B29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Planovi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razvojnih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 w:rsidR="00292B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2B29">
        <w:rPr>
          <w:rFonts w:ascii="Arial" w:hAnsi="Arial" w:cs="Arial"/>
          <w:sz w:val="22"/>
          <w:szCs w:val="22"/>
        </w:rPr>
        <w:t>važni</w:t>
      </w:r>
      <w:proofErr w:type="spellEnd"/>
      <w:r w:rsidR="00292B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2B29">
        <w:rPr>
          <w:rFonts w:ascii="Arial" w:hAnsi="Arial" w:cs="Arial"/>
          <w:sz w:val="22"/>
          <w:szCs w:val="22"/>
        </w:rPr>
        <w:t>su</w:t>
      </w:r>
      <w:proofErr w:type="spellEnd"/>
      <w:r w:rsidR="00292B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2B29">
        <w:rPr>
          <w:rFonts w:ascii="Arial" w:hAnsi="Arial" w:cs="Arial"/>
          <w:sz w:val="22"/>
          <w:szCs w:val="22"/>
        </w:rPr>
        <w:t>i</w:t>
      </w:r>
      <w:proofErr w:type="spellEnd"/>
      <w:r w:rsidR="00292B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292B29">
        <w:rPr>
          <w:rFonts w:ascii="Arial" w:hAnsi="Arial" w:cs="Arial"/>
          <w:sz w:val="22"/>
          <w:szCs w:val="22"/>
        </w:rPr>
        <w:t>konteks</w:t>
      </w:r>
      <w:r>
        <w:rPr>
          <w:rFonts w:ascii="Arial" w:hAnsi="Arial" w:cs="Arial"/>
          <w:sz w:val="22"/>
          <w:szCs w:val="22"/>
        </w:rPr>
        <w:t>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priprema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područne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regionalne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samouprave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korištenje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sredstava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fondova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Europske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unije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zato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projekti</w:t>
      </w:r>
      <w:proofErr w:type="spellEnd"/>
      <w:r>
        <w:rPr>
          <w:rFonts w:ascii="Arial" w:hAnsi="Arial" w:cs="Arial"/>
          <w:sz w:val="22"/>
          <w:szCs w:val="22"/>
        </w:rPr>
        <w:t xml:space="preserve"> koji se </w:t>
      </w:r>
      <w:proofErr w:type="spellStart"/>
      <w:r>
        <w:rPr>
          <w:rFonts w:ascii="Arial" w:hAnsi="Arial" w:cs="Arial"/>
          <w:sz w:val="22"/>
          <w:szCs w:val="22"/>
        </w:rPr>
        <w:t>planiraju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financirati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fondova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moraju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vezu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strateškim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ciljevima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prioritetima</w:t>
      </w:r>
      <w:proofErr w:type="spellEnd"/>
      <w:r>
        <w:rPr>
          <w:rFonts w:ascii="Arial" w:hAnsi="Arial" w:cs="Arial"/>
          <w:sz w:val="22"/>
          <w:szCs w:val="22"/>
        </w:rPr>
        <w:t xml:space="preserve"> JLP(R)S, a koji </w:t>
      </w:r>
      <w:proofErr w:type="spellStart"/>
      <w:r>
        <w:rPr>
          <w:rFonts w:ascii="Arial" w:hAnsi="Arial" w:cs="Arial"/>
          <w:sz w:val="22"/>
          <w:szCs w:val="22"/>
        </w:rPr>
        <w:t>opet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moraju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biti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suglasju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nacionalnim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strateškim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ciljevima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prioritetima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1502D0" w14:textId="77777777" w:rsidR="00AD7DC7" w:rsidRDefault="00AD7DC7" w:rsidP="00292B29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 </w:t>
      </w:r>
      <w:proofErr w:type="spellStart"/>
      <w:r>
        <w:rPr>
          <w:rFonts w:ascii="Arial" w:hAnsi="Arial" w:cs="Arial"/>
          <w:sz w:val="22"/>
          <w:szCs w:val="22"/>
        </w:rPr>
        <w:t>razvojnih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trebao</w:t>
      </w:r>
      <w:proofErr w:type="spellEnd"/>
      <w:r>
        <w:rPr>
          <w:rFonts w:ascii="Arial" w:hAnsi="Arial" w:cs="Arial"/>
          <w:sz w:val="22"/>
          <w:szCs w:val="22"/>
        </w:rPr>
        <w:t xml:space="preserve"> bi se </w:t>
      </w:r>
      <w:proofErr w:type="spellStart"/>
      <w:r>
        <w:rPr>
          <w:rFonts w:ascii="Arial" w:hAnsi="Arial" w:cs="Arial"/>
          <w:sz w:val="22"/>
          <w:szCs w:val="22"/>
        </w:rPr>
        <w:t>sastojati</w:t>
      </w:r>
      <w:proofErr w:type="spellEnd"/>
      <w:r>
        <w:rPr>
          <w:rFonts w:ascii="Arial" w:hAnsi="Arial" w:cs="Arial"/>
          <w:sz w:val="22"/>
          <w:szCs w:val="22"/>
        </w:rPr>
        <w:t xml:space="preserve"> od: </w:t>
      </w:r>
    </w:p>
    <w:p w14:paraId="3D19AC38" w14:textId="77777777" w:rsidR="00AD7DC7" w:rsidRDefault="00AD7DC7" w:rsidP="00292B29">
      <w:pPr>
        <w:pStyle w:val="Obinitek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ciljeva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razvoja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1CF0C533" w14:textId="77777777" w:rsidR="00AD7DC7" w:rsidRDefault="00AD7DC7" w:rsidP="00292B29">
      <w:pPr>
        <w:pStyle w:val="Obinitek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mjera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5BC9FBBC" w14:textId="77777777" w:rsidR="00AD7DC7" w:rsidRDefault="00AD7DC7" w:rsidP="00292B29">
      <w:pPr>
        <w:pStyle w:val="Obinitek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programskom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klasifikacijom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6ECB3CB3" w14:textId="77777777" w:rsidR="00AD7DC7" w:rsidRDefault="00AD7DC7" w:rsidP="00292B29">
      <w:pPr>
        <w:pStyle w:val="Obinitek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proračunom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05E4A454" w14:textId="77777777" w:rsidR="00AD7DC7" w:rsidRDefault="00AD7DC7" w:rsidP="00292B29">
      <w:pPr>
        <w:pStyle w:val="Obinitek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pokazatelja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rezultata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F80E363" w14:textId="77777777" w:rsidR="00AD7DC7" w:rsidRDefault="00AD7DC7" w:rsidP="00292B29">
      <w:pPr>
        <w:pStyle w:val="Obinitek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organizacijskom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klasifikacijom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EA021A1" w14:textId="77777777" w:rsidR="00292B29" w:rsidRDefault="00292B29" w:rsidP="00292B29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6037276E" w14:textId="77777777" w:rsidR="00292B29" w:rsidRDefault="00292B29" w:rsidP="00292B29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Jedinica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područne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="00BC43AE">
        <w:rPr>
          <w:rFonts w:ascii="Arial" w:hAnsi="Arial" w:cs="Arial"/>
          <w:sz w:val="22"/>
          <w:szCs w:val="22"/>
        </w:rPr>
        <w:t>egionalne</w:t>
      </w:r>
      <w:proofErr w:type="spellEnd"/>
      <w:r w:rsidR="00BC43AE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BC43AE">
        <w:rPr>
          <w:rFonts w:ascii="Arial" w:hAnsi="Arial" w:cs="Arial"/>
          <w:sz w:val="22"/>
          <w:szCs w:val="22"/>
        </w:rPr>
        <w:t>samouprave</w:t>
      </w:r>
      <w:proofErr w:type="spellEnd"/>
      <w:r w:rsidR="00BC43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3AE">
        <w:rPr>
          <w:rFonts w:ascii="Arial" w:hAnsi="Arial" w:cs="Arial"/>
          <w:sz w:val="22"/>
          <w:szCs w:val="22"/>
        </w:rPr>
        <w:t>utvrđuje</w:t>
      </w:r>
      <w:proofErr w:type="spellEnd"/>
      <w:r w:rsidR="00BC43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3A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iljeve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pomoću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će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ciljevi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ostvariti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Ciljevi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predstavljaju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smjer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kretanja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djelovanja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30457">
        <w:rPr>
          <w:rFonts w:ascii="Arial" w:hAnsi="Arial" w:cs="Arial"/>
          <w:sz w:val="22"/>
          <w:szCs w:val="22"/>
        </w:rPr>
        <w:t>bu</w:t>
      </w:r>
      <w:r>
        <w:rPr>
          <w:rFonts w:ascii="Arial" w:hAnsi="Arial" w:cs="Arial"/>
          <w:sz w:val="22"/>
          <w:szCs w:val="22"/>
        </w:rPr>
        <w:t>dućem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0457">
        <w:rPr>
          <w:rFonts w:ascii="Arial" w:hAnsi="Arial" w:cs="Arial"/>
          <w:sz w:val="22"/>
          <w:szCs w:val="22"/>
        </w:rPr>
        <w:t>vremenskom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razdoblju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Mjere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obuhvaćaju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specifičnih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aktivnosti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čija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provedba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usmjerena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postizanju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određenog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razvoja</w:t>
      </w:r>
      <w:proofErr w:type="spellEnd"/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njihov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redoslijed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ukazuje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prioritete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prioritete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alokaciji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resursa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sljedećem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trogodišnjem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razdoblju</w:t>
      </w:r>
      <w:proofErr w:type="spellEnd"/>
      <w:r w:rsidR="00861E53">
        <w:rPr>
          <w:rFonts w:ascii="Arial" w:hAnsi="Arial" w:cs="Arial"/>
          <w:sz w:val="22"/>
          <w:szCs w:val="22"/>
        </w:rPr>
        <w:t>.</w:t>
      </w:r>
    </w:p>
    <w:p w14:paraId="265D3C4F" w14:textId="68721AE7" w:rsidR="003A24A9" w:rsidRDefault="003A24A9" w:rsidP="00292B29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7C7F0088" w14:textId="77777777" w:rsidR="00A61B1D" w:rsidRDefault="00A61B1D" w:rsidP="00292B29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1B399585" w14:textId="77777777" w:rsidR="00503109" w:rsidRDefault="00503109" w:rsidP="00DC7ED8">
      <w:pPr>
        <w:pStyle w:val="Obinitek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Primjer</w:t>
      </w:r>
      <w:proofErr w:type="spellEnd"/>
      <w:r>
        <w:rPr>
          <w:rFonts w:ascii="Arial" w:hAnsi="Arial" w:cs="Arial"/>
          <w:sz w:val="22"/>
          <w:szCs w:val="22"/>
        </w:rPr>
        <w:t xml:space="preserve"> plana </w:t>
      </w:r>
      <w:proofErr w:type="spellStart"/>
      <w:r>
        <w:rPr>
          <w:rFonts w:ascii="Arial" w:hAnsi="Arial" w:cs="Arial"/>
          <w:sz w:val="22"/>
          <w:szCs w:val="22"/>
        </w:rPr>
        <w:t>razvojnih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programa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B29CC16" w14:textId="77777777" w:rsidR="00503109" w:rsidRDefault="00503109" w:rsidP="00292B29">
      <w:pPr>
        <w:pStyle w:val="Obinitekst"/>
        <w:ind w:firstLine="567"/>
        <w:jc w:val="both"/>
        <w:rPr>
          <w:rFonts w:ascii="Arial" w:hAnsi="Arial" w:cs="Arial"/>
          <w:sz w:val="22"/>
          <w:szCs w:val="22"/>
        </w:rPr>
      </w:pPr>
    </w:p>
    <w:p w14:paraId="6094C756" w14:textId="77777777" w:rsidR="00E10091" w:rsidRDefault="00AB45F8" w:rsidP="00AB45F8">
      <w:pPr>
        <w:pStyle w:val="Obinitekst"/>
        <w:tabs>
          <w:tab w:val="left" w:pos="99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46B01139" w14:textId="77777777" w:rsidR="00AB45F8" w:rsidRDefault="00AB45F8" w:rsidP="00AB45F8">
      <w:pPr>
        <w:pStyle w:val="Obinitekst"/>
        <w:tabs>
          <w:tab w:val="left" w:pos="990"/>
        </w:tabs>
        <w:rPr>
          <w:rFonts w:ascii="Courier New" w:hAnsi="Courier New" w:cs="Courier New"/>
        </w:rPr>
      </w:pPr>
    </w:p>
    <w:p w14:paraId="6B918F85" w14:textId="77777777" w:rsidR="00AB45F8" w:rsidRDefault="00AB45F8" w:rsidP="00AB45F8">
      <w:pPr>
        <w:pStyle w:val="Obinitekst"/>
        <w:tabs>
          <w:tab w:val="left" w:pos="990"/>
        </w:tabs>
        <w:rPr>
          <w:rFonts w:ascii="Courier New" w:hAnsi="Courier New" w:cs="Courier New"/>
        </w:rPr>
      </w:pPr>
    </w:p>
    <w:p w14:paraId="4A3BDD06" w14:textId="77777777" w:rsidR="00551269" w:rsidRPr="00551269" w:rsidRDefault="00551269" w:rsidP="00551269">
      <w:pPr>
        <w:pStyle w:val="Obinitekst"/>
        <w:tabs>
          <w:tab w:val="left" w:pos="990"/>
        </w:tabs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hr-HR" w:eastAsia="hr-HR"/>
        </w:rPr>
        <w:drawing>
          <wp:anchor distT="0" distB="0" distL="114300" distR="114300" simplePos="0" relativeHeight="251657216" behindDoc="0" locked="0" layoutInCell="1" allowOverlap="1" wp14:anchorId="6EEEEA5A" wp14:editId="368B1F97">
            <wp:simplePos x="0" y="0"/>
            <wp:positionH relativeFrom="margin">
              <wp:posOffset>-1408430</wp:posOffset>
            </wp:positionH>
            <wp:positionV relativeFrom="margin">
              <wp:posOffset>1151255</wp:posOffset>
            </wp:positionV>
            <wp:extent cx="8782685" cy="5788025"/>
            <wp:effectExtent l="0" t="762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82685" cy="578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B2912" w14:textId="77777777" w:rsidR="008E5DD2" w:rsidRDefault="008E5DD2" w:rsidP="005404CE">
      <w:pPr>
        <w:pStyle w:val="Obinitekst"/>
        <w:rPr>
          <w:rFonts w:ascii="Arial" w:hAnsi="Arial" w:cs="Arial"/>
          <w:b/>
          <w:sz w:val="22"/>
          <w:szCs w:val="22"/>
        </w:rPr>
      </w:pPr>
    </w:p>
    <w:p w14:paraId="33B38516" w14:textId="77777777" w:rsidR="008E5DD2" w:rsidRDefault="008E5DD2" w:rsidP="005404CE">
      <w:pPr>
        <w:pStyle w:val="Obinitekst"/>
        <w:rPr>
          <w:rFonts w:ascii="Arial" w:hAnsi="Arial" w:cs="Arial"/>
          <w:b/>
          <w:sz w:val="22"/>
          <w:szCs w:val="22"/>
        </w:rPr>
      </w:pPr>
    </w:p>
    <w:p w14:paraId="090565E7" w14:textId="77777777" w:rsidR="00465750" w:rsidRPr="00465750" w:rsidRDefault="00047084" w:rsidP="00465750">
      <w:pPr>
        <w:pStyle w:val="Obinitek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7</w:t>
      </w:r>
      <w:r w:rsidR="00551269">
        <w:rPr>
          <w:rFonts w:ascii="Arial" w:hAnsi="Arial" w:cs="Arial"/>
          <w:b/>
          <w:sz w:val="22"/>
          <w:szCs w:val="22"/>
        </w:rPr>
        <w:t xml:space="preserve">. PLANIRANJE </w:t>
      </w:r>
      <w:r w:rsidR="00364A76">
        <w:rPr>
          <w:rFonts w:ascii="Arial" w:hAnsi="Arial" w:cs="Arial"/>
          <w:b/>
          <w:sz w:val="22"/>
          <w:szCs w:val="22"/>
        </w:rPr>
        <w:t>RASHODA PRORAČ</w:t>
      </w:r>
      <w:r w:rsidR="00465750" w:rsidRPr="00465750">
        <w:rPr>
          <w:rFonts w:ascii="Arial" w:hAnsi="Arial" w:cs="Arial"/>
          <w:b/>
          <w:sz w:val="22"/>
          <w:szCs w:val="22"/>
        </w:rPr>
        <w:t>UNSKIH KORISNIKA U SKLOPU</w:t>
      </w:r>
    </w:p>
    <w:p w14:paraId="2F22F848" w14:textId="77777777" w:rsidR="00465750" w:rsidRPr="00465750" w:rsidRDefault="00465750" w:rsidP="00465750">
      <w:pPr>
        <w:pStyle w:val="Obinitekst"/>
        <w:jc w:val="center"/>
        <w:rPr>
          <w:rFonts w:ascii="Arial" w:hAnsi="Arial" w:cs="Arial"/>
          <w:b/>
          <w:sz w:val="22"/>
          <w:szCs w:val="22"/>
        </w:rPr>
      </w:pPr>
      <w:r w:rsidRPr="00465750">
        <w:rPr>
          <w:rFonts w:ascii="Arial" w:hAnsi="Arial" w:cs="Arial"/>
          <w:b/>
          <w:sz w:val="22"/>
          <w:szCs w:val="22"/>
        </w:rPr>
        <w:t>DECENTRALIZIRANIH FUNKCIJA</w:t>
      </w:r>
    </w:p>
    <w:p w14:paraId="6B9B9FD2" w14:textId="77777777" w:rsidR="00465750" w:rsidRPr="00465750" w:rsidRDefault="00465750" w:rsidP="00465750">
      <w:pPr>
        <w:pStyle w:val="Obinitekst"/>
        <w:rPr>
          <w:rFonts w:ascii="Arial" w:hAnsi="Arial" w:cs="Arial"/>
          <w:sz w:val="22"/>
          <w:szCs w:val="22"/>
        </w:rPr>
      </w:pPr>
    </w:p>
    <w:p w14:paraId="4C4F27EF" w14:textId="77777777" w:rsidR="00465750" w:rsidRDefault="00465750" w:rsidP="00465750">
      <w:pPr>
        <w:pStyle w:val="Obinitekst"/>
        <w:rPr>
          <w:rFonts w:ascii="Arial" w:hAnsi="Arial" w:cs="Arial"/>
          <w:sz w:val="22"/>
          <w:szCs w:val="22"/>
        </w:rPr>
      </w:pPr>
      <w:r w:rsidRPr="00465750">
        <w:rPr>
          <w:rFonts w:ascii="Arial" w:hAnsi="Arial" w:cs="Arial"/>
          <w:sz w:val="22"/>
          <w:szCs w:val="22"/>
        </w:rPr>
        <w:t xml:space="preserve"> </w:t>
      </w:r>
    </w:p>
    <w:p w14:paraId="13BBE45A" w14:textId="77777777" w:rsidR="005404CE" w:rsidRPr="00465750" w:rsidRDefault="005404CE" w:rsidP="00465750">
      <w:pPr>
        <w:pStyle w:val="Obinitekst"/>
        <w:rPr>
          <w:rFonts w:ascii="Arial" w:hAnsi="Arial" w:cs="Arial"/>
          <w:sz w:val="22"/>
          <w:szCs w:val="22"/>
        </w:rPr>
      </w:pPr>
    </w:p>
    <w:p w14:paraId="2A341315" w14:textId="2351A1DA" w:rsidR="005404CE" w:rsidRPr="005404CE" w:rsidRDefault="005404CE" w:rsidP="005404CE">
      <w:pPr>
        <w:jc w:val="both"/>
        <w:rPr>
          <w:rFonts w:ascii="Arial" w:hAnsi="Arial" w:cs="Arial"/>
        </w:rPr>
      </w:pPr>
      <w:proofErr w:type="spellStart"/>
      <w:r w:rsidRPr="005404CE">
        <w:rPr>
          <w:rFonts w:ascii="Arial" w:hAnsi="Arial" w:cs="Arial"/>
        </w:rPr>
        <w:t>Ukupan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iznos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sredstava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potreban</w:t>
      </w:r>
      <w:proofErr w:type="spellEnd"/>
      <w:r w:rsidRPr="005404CE">
        <w:rPr>
          <w:rFonts w:ascii="Arial" w:hAnsi="Arial" w:cs="Arial"/>
        </w:rPr>
        <w:t xml:space="preserve"> za </w:t>
      </w:r>
      <w:proofErr w:type="spellStart"/>
      <w:r w:rsidRPr="005404CE">
        <w:rPr>
          <w:rFonts w:ascii="Arial" w:hAnsi="Arial" w:cs="Arial"/>
        </w:rPr>
        <w:t>osiguranje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minimalnih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financijskih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standarda</w:t>
      </w:r>
      <w:proofErr w:type="spellEnd"/>
      <w:r w:rsidRPr="005404CE">
        <w:rPr>
          <w:rFonts w:ascii="Arial" w:hAnsi="Arial" w:cs="Arial"/>
        </w:rPr>
        <w:t xml:space="preserve"> (</w:t>
      </w:r>
      <w:proofErr w:type="spellStart"/>
      <w:r w:rsidRPr="005404CE">
        <w:rPr>
          <w:rFonts w:ascii="Arial" w:hAnsi="Arial" w:cs="Arial"/>
        </w:rPr>
        <w:t>bilančnih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prava</w:t>
      </w:r>
      <w:proofErr w:type="spellEnd"/>
      <w:r w:rsidRPr="005404CE">
        <w:rPr>
          <w:rFonts w:ascii="Arial" w:hAnsi="Arial" w:cs="Arial"/>
        </w:rPr>
        <w:t>) u 202</w:t>
      </w:r>
      <w:r w:rsidR="009E29DC">
        <w:rPr>
          <w:rFonts w:ascii="Arial" w:hAnsi="Arial" w:cs="Arial"/>
        </w:rPr>
        <w:t>2</w:t>
      </w:r>
      <w:r w:rsidRPr="005404CE">
        <w:rPr>
          <w:rFonts w:ascii="Arial" w:hAnsi="Arial" w:cs="Arial"/>
        </w:rPr>
        <w:t xml:space="preserve">. </w:t>
      </w:r>
      <w:proofErr w:type="spellStart"/>
      <w:r w:rsidRPr="005404CE">
        <w:rPr>
          <w:rFonts w:ascii="Arial" w:hAnsi="Arial" w:cs="Arial"/>
        </w:rPr>
        <w:t>godini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planira</w:t>
      </w:r>
      <w:proofErr w:type="spellEnd"/>
      <w:r w:rsidR="00D17670">
        <w:rPr>
          <w:rFonts w:ascii="Arial" w:hAnsi="Arial" w:cs="Arial"/>
        </w:rPr>
        <w:t xml:space="preserve"> se </w:t>
      </w:r>
      <w:proofErr w:type="spellStart"/>
      <w:r w:rsidR="00D17670">
        <w:rPr>
          <w:rFonts w:ascii="Arial" w:hAnsi="Arial" w:cs="Arial"/>
        </w:rPr>
        <w:t>na</w:t>
      </w:r>
      <w:proofErr w:type="spellEnd"/>
      <w:r w:rsidR="00D17670">
        <w:rPr>
          <w:rFonts w:ascii="Arial" w:hAnsi="Arial" w:cs="Arial"/>
        </w:rPr>
        <w:t xml:space="preserve"> </w:t>
      </w:r>
      <w:proofErr w:type="spellStart"/>
      <w:r w:rsidR="00D17670">
        <w:rPr>
          <w:rFonts w:ascii="Arial" w:hAnsi="Arial" w:cs="Arial"/>
        </w:rPr>
        <w:t>razini</w:t>
      </w:r>
      <w:proofErr w:type="spellEnd"/>
      <w:r w:rsidR="00D17670">
        <w:rPr>
          <w:rFonts w:ascii="Arial" w:hAnsi="Arial" w:cs="Arial"/>
        </w:rPr>
        <w:t xml:space="preserve"> </w:t>
      </w:r>
      <w:proofErr w:type="spellStart"/>
      <w:r w:rsidR="00D17670">
        <w:rPr>
          <w:rFonts w:ascii="Arial" w:hAnsi="Arial" w:cs="Arial"/>
        </w:rPr>
        <w:t>prethodne</w:t>
      </w:r>
      <w:proofErr w:type="spellEnd"/>
      <w:r w:rsidR="00D17670">
        <w:rPr>
          <w:rFonts w:ascii="Arial" w:hAnsi="Arial" w:cs="Arial"/>
        </w:rPr>
        <w:t xml:space="preserve">, </w:t>
      </w:r>
      <w:proofErr w:type="spellStart"/>
      <w:r w:rsidR="00D17670">
        <w:rPr>
          <w:rFonts w:ascii="Arial" w:hAnsi="Arial" w:cs="Arial"/>
        </w:rPr>
        <w:t>odnosno</w:t>
      </w:r>
      <w:proofErr w:type="spellEnd"/>
      <w:r w:rsidR="00D17670">
        <w:rPr>
          <w:rFonts w:ascii="Arial" w:hAnsi="Arial" w:cs="Arial"/>
        </w:rPr>
        <w:t xml:space="preserve"> 202</w:t>
      </w:r>
      <w:r w:rsidR="009E29DC">
        <w:rPr>
          <w:rFonts w:ascii="Arial" w:hAnsi="Arial" w:cs="Arial"/>
        </w:rPr>
        <w:t>1</w:t>
      </w:r>
      <w:r w:rsidR="00D17670">
        <w:rPr>
          <w:rFonts w:ascii="Arial" w:hAnsi="Arial" w:cs="Arial"/>
        </w:rPr>
        <w:t xml:space="preserve">. </w:t>
      </w:r>
      <w:proofErr w:type="spellStart"/>
      <w:r w:rsidR="00D17670">
        <w:rPr>
          <w:rFonts w:ascii="Arial" w:hAnsi="Arial" w:cs="Arial"/>
        </w:rPr>
        <w:t>godine</w:t>
      </w:r>
      <w:proofErr w:type="spellEnd"/>
      <w:r w:rsidR="00D17670">
        <w:rPr>
          <w:rFonts w:ascii="Arial" w:hAnsi="Arial" w:cs="Arial"/>
        </w:rPr>
        <w:t>.</w:t>
      </w:r>
      <w:r w:rsidRPr="005404CE">
        <w:rPr>
          <w:rFonts w:ascii="Arial" w:hAnsi="Arial" w:cs="Arial"/>
        </w:rPr>
        <w:t xml:space="preserve"> </w:t>
      </w:r>
    </w:p>
    <w:p w14:paraId="2ACCE3EC" w14:textId="77777777" w:rsidR="005404CE" w:rsidRPr="005404CE" w:rsidRDefault="005404CE" w:rsidP="005404CE">
      <w:pPr>
        <w:jc w:val="both"/>
        <w:rPr>
          <w:rFonts w:ascii="Arial" w:hAnsi="Arial" w:cs="Arial"/>
        </w:rPr>
      </w:pPr>
    </w:p>
    <w:p w14:paraId="11509FAA" w14:textId="77777777" w:rsidR="005404CE" w:rsidRPr="005404CE" w:rsidRDefault="005404CE" w:rsidP="005404CE">
      <w:pPr>
        <w:jc w:val="both"/>
        <w:rPr>
          <w:rFonts w:ascii="Arial" w:hAnsi="Arial" w:cs="Arial"/>
        </w:rPr>
      </w:pPr>
      <w:proofErr w:type="spellStart"/>
      <w:r w:rsidRPr="005404CE">
        <w:rPr>
          <w:rFonts w:ascii="Arial" w:hAnsi="Arial" w:cs="Arial"/>
        </w:rPr>
        <w:t>Tijela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državne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uprave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koja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su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nadležna</w:t>
      </w:r>
      <w:proofErr w:type="spellEnd"/>
      <w:r w:rsidRPr="005404CE">
        <w:rPr>
          <w:rFonts w:ascii="Arial" w:hAnsi="Arial" w:cs="Arial"/>
        </w:rPr>
        <w:t xml:space="preserve"> za </w:t>
      </w:r>
      <w:proofErr w:type="spellStart"/>
      <w:r w:rsidRPr="005404CE">
        <w:rPr>
          <w:rFonts w:ascii="Arial" w:hAnsi="Arial" w:cs="Arial"/>
        </w:rPr>
        <w:t>decentralizirane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funkcije</w:t>
      </w:r>
      <w:proofErr w:type="spellEnd"/>
      <w:r w:rsidRPr="005404CE">
        <w:rPr>
          <w:rFonts w:ascii="Arial" w:hAnsi="Arial" w:cs="Arial"/>
        </w:rPr>
        <w:t xml:space="preserve">, u </w:t>
      </w:r>
      <w:proofErr w:type="spellStart"/>
      <w:r w:rsidRPr="005404CE">
        <w:rPr>
          <w:rFonts w:ascii="Arial" w:hAnsi="Arial" w:cs="Arial"/>
        </w:rPr>
        <w:t>suradnji</w:t>
      </w:r>
      <w:proofErr w:type="spellEnd"/>
      <w:r w:rsidRPr="005404CE">
        <w:rPr>
          <w:rFonts w:ascii="Arial" w:hAnsi="Arial" w:cs="Arial"/>
        </w:rPr>
        <w:t xml:space="preserve"> s </w:t>
      </w:r>
      <w:proofErr w:type="spellStart"/>
      <w:r w:rsidRPr="005404CE">
        <w:rPr>
          <w:rFonts w:ascii="Arial" w:hAnsi="Arial" w:cs="Arial"/>
        </w:rPr>
        <w:t>nositeljima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decentraliziranih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funkcija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te</w:t>
      </w:r>
      <w:proofErr w:type="spellEnd"/>
      <w:r w:rsidRPr="005404CE">
        <w:rPr>
          <w:rFonts w:ascii="Arial" w:hAnsi="Arial" w:cs="Arial"/>
        </w:rPr>
        <w:t xml:space="preserve"> u </w:t>
      </w:r>
      <w:proofErr w:type="spellStart"/>
      <w:r w:rsidRPr="005404CE">
        <w:rPr>
          <w:rFonts w:ascii="Arial" w:hAnsi="Arial" w:cs="Arial"/>
        </w:rPr>
        <w:t>skladu</w:t>
      </w:r>
      <w:proofErr w:type="spellEnd"/>
      <w:r w:rsidRPr="005404CE">
        <w:rPr>
          <w:rFonts w:ascii="Arial" w:hAnsi="Arial" w:cs="Arial"/>
        </w:rPr>
        <w:t xml:space="preserve"> s </w:t>
      </w:r>
      <w:proofErr w:type="spellStart"/>
      <w:r w:rsidRPr="005404CE">
        <w:rPr>
          <w:rFonts w:ascii="Arial" w:hAnsi="Arial" w:cs="Arial"/>
        </w:rPr>
        <w:t>potrebama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krajnjih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korisnika</w:t>
      </w:r>
      <w:proofErr w:type="spellEnd"/>
      <w:r w:rsidRPr="005404CE">
        <w:rPr>
          <w:rFonts w:ascii="Arial" w:hAnsi="Arial" w:cs="Arial"/>
        </w:rPr>
        <w:t xml:space="preserve"> (ustanova), </w:t>
      </w:r>
      <w:proofErr w:type="spellStart"/>
      <w:r w:rsidRPr="005404CE">
        <w:rPr>
          <w:rFonts w:ascii="Arial" w:hAnsi="Arial" w:cs="Arial"/>
        </w:rPr>
        <w:t>određuju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raspodjelu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sredstava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županijama</w:t>
      </w:r>
      <w:proofErr w:type="spellEnd"/>
      <w:r w:rsidRPr="005404CE">
        <w:rPr>
          <w:rFonts w:ascii="Arial" w:hAnsi="Arial" w:cs="Arial"/>
        </w:rPr>
        <w:t xml:space="preserve">, </w:t>
      </w:r>
      <w:proofErr w:type="spellStart"/>
      <w:r w:rsidRPr="005404CE">
        <w:rPr>
          <w:rFonts w:ascii="Arial" w:hAnsi="Arial" w:cs="Arial"/>
        </w:rPr>
        <w:t>Gradu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Zagrebu</w:t>
      </w:r>
      <w:proofErr w:type="spellEnd"/>
      <w:r w:rsidRPr="005404CE">
        <w:rPr>
          <w:rFonts w:ascii="Arial" w:hAnsi="Arial" w:cs="Arial"/>
        </w:rPr>
        <w:t xml:space="preserve">, </w:t>
      </w:r>
      <w:proofErr w:type="spellStart"/>
      <w:r w:rsidRPr="005404CE">
        <w:rPr>
          <w:rFonts w:ascii="Arial" w:hAnsi="Arial" w:cs="Arial"/>
        </w:rPr>
        <w:t>gradovima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općinama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unutar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zadanih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limita</w:t>
      </w:r>
      <w:proofErr w:type="spellEnd"/>
      <w:r w:rsidRPr="005404CE">
        <w:rPr>
          <w:rFonts w:ascii="Arial" w:hAnsi="Arial" w:cs="Arial"/>
        </w:rPr>
        <w:t xml:space="preserve"> za </w:t>
      </w:r>
      <w:proofErr w:type="spellStart"/>
      <w:r w:rsidRPr="005404CE">
        <w:rPr>
          <w:rFonts w:ascii="Arial" w:hAnsi="Arial" w:cs="Arial"/>
        </w:rPr>
        <w:t>svaku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pojedinu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decentraliziranu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funkciju</w:t>
      </w:r>
      <w:proofErr w:type="spellEnd"/>
      <w:r w:rsidRPr="005404CE">
        <w:rPr>
          <w:rFonts w:ascii="Arial" w:hAnsi="Arial" w:cs="Arial"/>
        </w:rPr>
        <w:t xml:space="preserve">. </w:t>
      </w:r>
    </w:p>
    <w:p w14:paraId="5D0A08CF" w14:textId="77777777" w:rsidR="005404CE" w:rsidRPr="005404CE" w:rsidRDefault="005404CE" w:rsidP="005404CE">
      <w:pPr>
        <w:jc w:val="both"/>
        <w:rPr>
          <w:rFonts w:ascii="Arial" w:hAnsi="Arial" w:cs="Arial"/>
        </w:rPr>
      </w:pPr>
    </w:p>
    <w:p w14:paraId="6500D50C" w14:textId="58D435C1" w:rsidR="005404CE" w:rsidRPr="005404CE" w:rsidRDefault="005404CE" w:rsidP="005404CE">
      <w:pPr>
        <w:jc w:val="both"/>
        <w:rPr>
          <w:rFonts w:ascii="Arial" w:hAnsi="Arial" w:cs="Arial"/>
        </w:rPr>
      </w:pPr>
      <w:proofErr w:type="spellStart"/>
      <w:r w:rsidRPr="005404CE">
        <w:rPr>
          <w:rFonts w:ascii="Arial" w:hAnsi="Arial" w:cs="Arial"/>
        </w:rPr>
        <w:t>Sredstva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pomoći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izravnanja</w:t>
      </w:r>
      <w:proofErr w:type="spellEnd"/>
      <w:r w:rsidRPr="005404CE">
        <w:rPr>
          <w:rFonts w:ascii="Arial" w:hAnsi="Arial" w:cs="Arial"/>
        </w:rPr>
        <w:t xml:space="preserve"> za </w:t>
      </w:r>
      <w:proofErr w:type="spellStart"/>
      <w:r w:rsidRPr="005404CE">
        <w:rPr>
          <w:rFonts w:ascii="Arial" w:hAnsi="Arial" w:cs="Arial"/>
        </w:rPr>
        <w:t>decentralizirane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funkcije</w:t>
      </w:r>
      <w:proofErr w:type="spellEnd"/>
      <w:r w:rsidRPr="005404CE">
        <w:rPr>
          <w:rFonts w:ascii="Arial" w:hAnsi="Arial" w:cs="Arial"/>
        </w:rPr>
        <w:t xml:space="preserve">, </w:t>
      </w:r>
      <w:proofErr w:type="spellStart"/>
      <w:r w:rsidRPr="005404CE">
        <w:rPr>
          <w:rFonts w:ascii="Arial" w:hAnsi="Arial" w:cs="Arial"/>
        </w:rPr>
        <w:t>kao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20</w:t>
      </w:r>
      <w:r w:rsidR="00D17670">
        <w:rPr>
          <w:rFonts w:ascii="Arial" w:hAnsi="Arial" w:cs="Arial"/>
        </w:rPr>
        <w:t>2</w:t>
      </w:r>
      <w:r w:rsidR="009E29DC">
        <w:rPr>
          <w:rFonts w:ascii="Arial" w:hAnsi="Arial" w:cs="Arial"/>
        </w:rPr>
        <w:t>1</w:t>
      </w:r>
      <w:r w:rsidRPr="005404CE">
        <w:rPr>
          <w:rFonts w:ascii="Arial" w:hAnsi="Arial" w:cs="Arial"/>
        </w:rPr>
        <w:t xml:space="preserve">. </w:t>
      </w:r>
      <w:proofErr w:type="spellStart"/>
      <w:r w:rsidRPr="005404CE">
        <w:rPr>
          <w:rFonts w:ascii="Arial" w:hAnsi="Arial" w:cs="Arial"/>
        </w:rPr>
        <w:t>godine</w:t>
      </w:r>
      <w:proofErr w:type="spellEnd"/>
      <w:r w:rsidRPr="005404CE">
        <w:rPr>
          <w:rFonts w:ascii="Arial" w:hAnsi="Arial" w:cs="Arial"/>
        </w:rPr>
        <w:t xml:space="preserve">, bit </w:t>
      </w:r>
      <w:proofErr w:type="spellStart"/>
      <w:r w:rsidRPr="005404CE">
        <w:rPr>
          <w:rFonts w:ascii="Arial" w:hAnsi="Arial" w:cs="Arial"/>
        </w:rPr>
        <w:t>će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osigurana</w:t>
      </w:r>
      <w:proofErr w:type="spellEnd"/>
      <w:r w:rsidRPr="005404CE">
        <w:rPr>
          <w:rFonts w:ascii="Arial" w:hAnsi="Arial" w:cs="Arial"/>
        </w:rPr>
        <w:t xml:space="preserve"> u </w:t>
      </w:r>
      <w:proofErr w:type="spellStart"/>
      <w:r w:rsidRPr="005404CE">
        <w:rPr>
          <w:rFonts w:ascii="Arial" w:hAnsi="Arial" w:cs="Arial"/>
        </w:rPr>
        <w:t>državnom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proračunu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Republike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Hrvatske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razdjelu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tijela</w:t>
      </w:r>
      <w:proofErr w:type="spellEnd"/>
      <w:r w:rsidRPr="005404CE">
        <w:rPr>
          <w:rFonts w:ascii="Arial" w:hAnsi="Arial" w:cs="Arial"/>
        </w:rPr>
        <w:t xml:space="preserve"> (</w:t>
      </w:r>
      <w:proofErr w:type="spellStart"/>
      <w:r w:rsidRPr="005404CE">
        <w:rPr>
          <w:rFonts w:ascii="Arial" w:hAnsi="Arial" w:cs="Arial"/>
        </w:rPr>
        <w:t>ministarstva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druga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tijela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državne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uprave</w:t>
      </w:r>
      <w:proofErr w:type="spellEnd"/>
      <w:r w:rsidRPr="005404CE">
        <w:rPr>
          <w:rFonts w:ascii="Arial" w:hAnsi="Arial" w:cs="Arial"/>
        </w:rPr>
        <w:t xml:space="preserve">) </w:t>
      </w:r>
      <w:proofErr w:type="spellStart"/>
      <w:r w:rsidRPr="005404CE">
        <w:rPr>
          <w:rFonts w:ascii="Arial" w:hAnsi="Arial" w:cs="Arial"/>
        </w:rPr>
        <w:t>nadležnog</w:t>
      </w:r>
      <w:proofErr w:type="spellEnd"/>
      <w:r w:rsidRPr="005404CE">
        <w:rPr>
          <w:rFonts w:ascii="Arial" w:hAnsi="Arial" w:cs="Arial"/>
        </w:rPr>
        <w:t xml:space="preserve"> za </w:t>
      </w:r>
      <w:proofErr w:type="spellStart"/>
      <w:r w:rsidRPr="005404CE">
        <w:rPr>
          <w:rFonts w:ascii="Arial" w:hAnsi="Arial" w:cs="Arial"/>
        </w:rPr>
        <w:t>određenu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decentraliziranu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funkciju</w:t>
      </w:r>
      <w:proofErr w:type="spellEnd"/>
      <w:r w:rsidRPr="005404CE">
        <w:rPr>
          <w:rFonts w:ascii="Arial" w:hAnsi="Arial" w:cs="Arial"/>
        </w:rPr>
        <w:t xml:space="preserve">. </w:t>
      </w:r>
      <w:proofErr w:type="spellStart"/>
      <w:r w:rsidRPr="005404CE">
        <w:rPr>
          <w:rFonts w:ascii="Arial" w:hAnsi="Arial" w:cs="Arial"/>
        </w:rPr>
        <w:t>Radi</w:t>
      </w:r>
      <w:proofErr w:type="spellEnd"/>
      <w:r w:rsidRPr="005404CE">
        <w:rPr>
          <w:rFonts w:ascii="Arial" w:hAnsi="Arial" w:cs="Arial"/>
        </w:rPr>
        <w:t xml:space="preserve"> se o </w:t>
      </w:r>
      <w:proofErr w:type="spellStart"/>
      <w:r w:rsidRPr="005404CE">
        <w:rPr>
          <w:rFonts w:ascii="Arial" w:hAnsi="Arial" w:cs="Arial"/>
        </w:rPr>
        <w:t>sredstvima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namijenjenima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jedinicama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lokalne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područne</w:t>
      </w:r>
      <w:proofErr w:type="spellEnd"/>
      <w:r w:rsidRPr="005404CE">
        <w:rPr>
          <w:rFonts w:ascii="Arial" w:hAnsi="Arial" w:cs="Arial"/>
        </w:rPr>
        <w:t xml:space="preserve"> (</w:t>
      </w:r>
      <w:proofErr w:type="spellStart"/>
      <w:r w:rsidRPr="005404CE">
        <w:rPr>
          <w:rFonts w:ascii="Arial" w:hAnsi="Arial" w:cs="Arial"/>
        </w:rPr>
        <w:t>regionalne</w:t>
      </w:r>
      <w:proofErr w:type="spellEnd"/>
      <w:r w:rsidRPr="005404CE">
        <w:rPr>
          <w:rFonts w:ascii="Arial" w:hAnsi="Arial" w:cs="Arial"/>
        </w:rPr>
        <w:t xml:space="preserve">) </w:t>
      </w:r>
      <w:proofErr w:type="spellStart"/>
      <w:r w:rsidRPr="005404CE">
        <w:rPr>
          <w:rFonts w:ascii="Arial" w:hAnsi="Arial" w:cs="Arial"/>
        </w:rPr>
        <w:t>samouprave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koje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iz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namjenskog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udjela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poreza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dohodak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ostvare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manje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sredstava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nego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im</w:t>
      </w:r>
      <w:proofErr w:type="spellEnd"/>
      <w:r w:rsidRPr="005404CE">
        <w:rPr>
          <w:rFonts w:ascii="Arial" w:hAnsi="Arial" w:cs="Arial"/>
        </w:rPr>
        <w:t xml:space="preserve"> je </w:t>
      </w:r>
      <w:proofErr w:type="spellStart"/>
      <w:r w:rsidRPr="005404CE">
        <w:rPr>
          <w:rFonts w:ascii="Arial" w:hAnsi="Arial" w:cs="Arial"/>
        </w:rPr>
        <w:t>potrebno</w:t>
      </w:r>
      <w:proofErr w:type="spellEnd"/>
      <w:r w:rsidRPr="005404CE">
        <w:rPr>
          <w:rFonts w:ascii="Arial" w:hAnsi="Arial" w:cs="Arial"/>
        </w:rPr>
        <w:t xml:space="preserve"> za </w:t>
      </w:r>
      <w:proofErr w:type="spellStart"/>
      <w:r w:rsidRPr="005404CE">
        <w:rPr>
          <w:rFonts w:ascii="Arial" w:hAnsi="Arial" w:cs="Arial"/>
        </w:rPr>
        <w:t>dostizanje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minimalnih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financijskih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standarda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te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imaju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pravo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na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pomoć</w:t>
      </w:r>
      <w:proofErr w:type="spellEnd"/>
      <w:r w:rsidRPr="005404CE">
        <w:rPr>
          <w:rFonts w:ascii="Arial" w:hAnsi="Arial" w:cs="Arial"/>
        </w:rPr>
        <w:t xml:space="preserve"> </w:t>
      </w:r>
      <w:proofErr w:type="spellStart"/>
      <w:r w:rsidRPr="005404CE">
        <w:rPr>
          <w:rFonts w:ascii="Arial" w:hAnsi="Arial" w:cs="Arial"/>
        </w:rPr>
        <w:t>izravnanja</w:t>
      </w:r>
      <w:proofErr w:type="spellEnd"/>
      <w:r w:rsidRPr="005404CE">
        <w:rPr>
          <w:rFonts w:ascii="Arial" w:hAnsi="Arial" w:cs="Arial"/>
        </w:rPr>
        <w:t xml:space="preserve">. </w:t>
      </w:r>
    </w:p>
    <w:p w14:paraId="6BFA241E" w14:textId="77777777" w:rsidR="005404CE" w:rsidRDefault="005404CE" w:rsidP="005404CE">
      <w:pPr>
        <w:jc w:val="both"/>
        <w:rPr>
          <w:sz w:val="24"/>
          <w:szCs w:val="24"/>
        </w:rPr>
      </w:pPr>
    </w:p>
    <w:p w14:paraId="76488F47" w14:textId="77777777" w:rsidR="00956782" w:rsidRPr="00956782" w:rsidRDefault="00956782" w:rsidP="00956782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58AD84B6" w14:textId="77777777" w:rsidR="00956782" w:rsidRPr="00956782" w:rsidRDefault="00956782" w:rsidP="00956782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13C925F1" w14:textId="77777777" w:rsidR="00956782" w:rsidRPr="00956782" w:rsidRDefault="00956782" w:rsidP="00956782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26C150A4" w14:textId="77777777" w:rsidR="00956782" w:rsidRPr="00584282" w:rsidRDefault="00584282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584282">
        <w:rPr>
          <w:rFonts w:ascii="Arial" w:hAnsi="Arial" w:cs="Arial"/>
          <w:b/>
          <w:sz w:val="22"/>
          <w:szCs w:val="22"/>
        </w:rPr>
        <w:t>Izvanprorač</w:t>
      </w:r>
      <w:r w:rsidR="00956782" w:rsidRPr="00584282">
        <w:rPr>
          <w:rFonts w:ascii="Arial" w:hAnsi="Arial" w:cs="Arial"/>
          <w:b/>
          <w:sz w:val="22"/>
          <w:szCs w:val="22"/>
        </w:rPr>
        <w:t>unski</w:t>
      </w:r>
      <w:proofErr w:type="spellEnd"/>
      <w:r w:rsidR="00956782" w:rsidRPr="005842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56782" w:rsidRPr="00584282">
        <w:rPr>
          <w:rFonts w:ascii="Arial" w:hAnsi="Arial" w:cs="Arial"/>
          <w:b/>
          <w:sz w:val="22"/>
          <w:szCs w:val="22"/>
        </w:rPr>
        <w:t>kor</w:t>
      </w:r>
      <w:r w:rsidRPr="00584282">
        <w:rPr>
          <w:rFonts w:ascii="Arial" w:hAnsi="Arial" w:cs="Arial"/>
          <w:b/>
          <w:sz w:val="22"/>
          <w:szCs w:val="22"/>
        </w:rPr>
        <w:t>isnici</w:t>
      </w:r>
      <w:proofErr w:type="spellEnd"/>
      <w:r w:rsidRPr="005842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84282">
        <w:rPr>
          <w:rFonts w:ascii="Arial" w:hAnsi="Arial" w:cs="Arial"/>
          <w:b/>
          <w:sz w:val="22"/>
          <w:szCs w:val="22"/>
        </w:rPr>
        <w:t>jedinice</w:t>
      </w:r>
      <w:proofErr w:type="spellEnd"/>
      <w:r w:rsidRPr="005842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84282">
        <w:rPr>
          <w:rFonts w:ascii="Arial" w:hAnsi="Arial" w:cs="Arial"/>
          <w:b/>
          <w:sz w:val="22"/>
          <w:szCs w:val="22"/>
        </w:rPr>
        <w:t>lokalne</w:t>
      </w:r>
      <w:proofErr w:type="spellEnd"/>
      <w:r w:rsidRPr="005842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84282">
        <w:rPr>
          <w:rFonts w:ascii="Arial" w:hAnsi="Arial" w:cs="Arial"/>
          <w:b/>
          <w:sz w:val="22"/>
          <w:szCs w:val="22"/>
        </w:rPr>
        <w:t>i</w:t>
      </w:r>
      <w:proofErr w:type="spellEnd"/>
      <w:r w:rsidRPr="005842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84282">
        <w:rPr>
          <w:rFonts w:ascii="Arial" w:hAnsi="Arial" w:cs="Arial"/>
          <w:b/>
          <w:sz w:val="22"/>
          <w:szCs w:val="22"/>
        </w:rPr>
        <w:t>područ</w:t>
      </w:r>
      <w:r w:rsidR="00956782" w:rsidRPr="00584282">
        <w:rPr>
          <w:rFonts w:ascii="Arial" w:hAnsi="Arial" w:cs="Arial"/>
          <w:b/>
          <w:sz w:val="22"/>
          <w:szCs w:val="22"/>
        </w:rPr>
        <w:t>ne</w:t>
      </w:r>
      <w:proofErr w:type="spellEnd"/>
      <w:r w:rsidR="00956782" w:rsidRPr="00584282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956782" w:rsidRPr="00584282">
        <w:rPr>
          <w:rFonts w:ascii="Arial" w:hAnsi="Arial" w:cs="Arial"/>
          <w:b/>
          <w:sz w:val="22"/>
          <w:szCs w:val="22"/>
        </w:rPr>
        <w:t>regionalne</w:t>
      </w:r>
      <w:proofErr w:type="spellEnd"/>
      <w:r w:rsidR="00956782" w:rsidRPr="00584282"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 w:rsidR="00956782" w:rsidRPr="00584282">
        <w:rPr>
          <w:rFonts w:ascii="Arial" w:hAnsi="Arial" w:cs="Arial"/>
          <w:b/>
          <w:sz w:val="22"/>
          <w:szCs w:val="22"/>
        </w:rPr>
        <w:t>samouprave</w:t>
      </w:r>
      <w:proofErr w:type="spellEnd"/>
      <w:r w:rsidR="00956782" w:rsidRPr="00584282">
        <w:rPr>
          <w:rFonts w:ascii="Arial" w:hAnsi="Arial" w:cs="Arial"/>
          <w:b/>
          <w:sz w:val="22"/>
          <w:szCs w:val="22"/>
        </w:rPr>
        <w:t xml:space="preserve"> </w:t>
      </w:r>
    </w:p>
    <w:p w14:paraId="613F5EFF" w14:textId="77777777" w:rsidR="00956782" w:rsidRPr="00956782" w:rsidRDefault="00956782" w:rsidP="00956782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572C380C" w14:textId="77777777" w:rsidR="00956782" w:rsidRPr="00956782" w:rsidRDefault="00956782" w:rsidP="00956782">
      <w:pPr>
        <w:pStyle w:val="Obinitekst"/>
        <w:jc w:val="both"/>
        <w:rPr>
          <w:rFonts w:ascii="Arial" w:hAnsi="Arial" w:cs="Arial"/>
          <w:sz w:val="22"/>
          <w:szCs w:val="22"/>
        </w:rPr>
      </w:pPr>
      <w:r w:rsidRPr="00956782">
        <w:rPr>
          <w:rFonts w:ascii="Arial" w:hAnsi="Arial" w:cs="Arial"/>
          <w:sz w:val="22"/>
          <w:szCs w:val="22"/>
        </w:rPr>
        <w:t xml:space="preserve"> </w:t>
      </w:r>
    </w:p>
    <w:p w14:paraId="566F1546" w14:textId="77777777" w:rsidR="00956782" w:rsidRPr="00956782" w:rsidRDefault="00584282" w:rsidP="00956782">
      <w:pPr>
        <w:pStyle w:val="Obinitek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Izvanprorač</w:t>
      </w:r>
      <w:r w:rsidR="00956782" w:rsidRPr="00956782">
        <w:rPr>
          <w:rFonts w:ascii="Arial" w:hAnsi="Arial" w:cs="Arial"/>
          <w:sz w:val="22"/>
          <w:szCs w:val="22"/>
        </w:rPr>
        <w:t>unski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z w:val="22"/>
          <w:szCs w:val="22"/>
        </w:rPr>
        <w:t>risnik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</w:t>
      </w:r>
      <w:r w:rsidR="00956782" w:rsidRPr="00956782">
        <w:rPr>
          <w:rFonts w:ascii="Arial" w:hAnsi="Arial" w:cs="Arial"/>
          <w:sz w:val="22"/>
          <w:szCs w:val="22"/>
        </w:rPr>
        <w:t>ne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regionalne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samouprave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mora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pripremiti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prijedlog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financijskog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na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osnovi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uputa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koje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dostavlja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dležna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</w:t>
      </w:r>
      <w:r w:rsidR="00956782" w:rsidRPr="00956782">
        <w:rPr>
          <w:rFonts w:ascii="Arial" w:hAnsi="Arial" w:cs="Arial"/>
          <w:sz w:val="22"/>
          <w:szCs w:val="22"/>
        </w:rPr>
        <w:t>ne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regionalne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samouprave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sukladno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odredbama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956782" w:rsidRPr="00956782">
        <w:rPr>
          <w:rFonts w:ascii="Arial" w:hAnsi="Arial" w:cs="Arial"/>
          <w:sz w:val="22"/>
          <w:szCs w:val="22"/>
        </w:rPr>
        <w:t>unu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na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koje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ukazuje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i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pitanje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iz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Upitnika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fiskalnoj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odgovornosti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>: „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Financijski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plan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izvanproracunskog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korisnika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državnog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prora</w:t>
      </w:r>
      <w:r w:rsidR="0057782D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</w:t>
      </w:r>
      <w:r w:rsidR="00956782" w:rsidRPr="00956782">
        <w:rPr>
          <w:rFonts w:ascii="Arial" w:hAnsi="Arial" w:cs="Arial"/>
          <w:sz w:val="22"/>
          <w:szCs w:val="22"/>
        </w:rPr>
        <w:t>ne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regionalne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samouprave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sadrži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prihode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i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primitke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iskazane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vrstama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rashode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i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izdatke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predviđ</w:t>
      </w:r>
      <w:r w:rsidR="00956782" w:rsidRPr="00956782">
        <w:rPr>
          <w:rFonts w:ascii="Arial" w:hAnsi="Arial" w:cs="Arial"/>
          <w:sz w:val="22"/>
          <w:szCs w:val="22"/>
        </w:rPr>
        <w:t>ene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trogodišnje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zdoblje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razvrstane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</w:t>
      </w:r>
      <w:r w:rsidR="00956782" w:rsidRPr="00956782">
        <w:rPr>
          <w:rFonts w:ascii="Arial" w:hAnsi="Arial" w:cs="Arial"/>
          <w:sz w:val="22"/>
          <w:szCs w:val="22"/>
        </w:rPr>
        <w:t>unskim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klasifikacijama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i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obrazloženje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prijedloga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6782" w:rsidRPr="00956782">
        <w:rPr>
          <w:rFonts w:ascii="Arial" w:hAnsi="Arial" w:cs="Arial"/>
          <w:sz w:val="22"/>
          <w:szCs w:val="22"/>
        </w:rPr>
        <w:t>financijskog</w:t>
      </w:r>
      <w:proofErr w:type="spellEnd"/>
      <w:r w:rsidR="00956782" w:rsidRPr="00956782">
        <w:rPr>
          <w:rFonts w:ascii="Arial" w:hAnsi="Arial" w:cs="Arial"/>
          <w:sz w:val="22"/>
          <w:szCs w:val="22"/>
        </w:rPr>
        <w:t xml:space="preserve"> plana.“ </w:t>
      </w:r>
    </w:p>
    <w:p w14:paraId="7E90145D" w14:textId="77777777" w:rsidR="00956782" w:rsidRPr="00956782" w:rsidRDefault="00956782" w:rsidP="00956782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786A303D" w14:textId="2F4461D6" w:rsidR="00584282" w:rsidRPr="00584282" w:rsidRDefault="00956782" w:rsidP="00584282">
      <w:pPr>
        <w:pStyle w:val="Obinitekst"/>
        <w:jc w:val="both"/>
        <w:rPr>
          <w:rFonts w:ascii="Arial" w:hAnsi="Arial" w:cs="Arial"/>
          <w:sz w:val="22"/>
          <w:szCs w:val="22"/>
        </w:rPr>
      </w:pPr>
      <w:proofErr w:type="spellStart"/>
      <w:r w:rsidRPr="00956782">
        <w:rPr>
          <w:rFonts w:ascii="Arial" w:hAnsi="Arial" w:cs="Arial"/>
          <w:sz w:val="22"/>
          <w:szCs w:val="22"/>
        </w:rPr>
        <w:t>Prijedlo</w:t>
      </w:r>
      <w:r w:rsidR="00584282">
        <w:rPr>
          <w:rFonts w:ascii="Arial" w:hAnsi="Arial" w:cs="Arial"/>
          <w:sz w:val="22"/>
          <w:szCs w:val="22"/>
        </w:rPr>
        <w:t>g</w:t>
      </w:r>
      <w:proofErr w:type="spellEnd"/>
      <w:r w:rsid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>
        <w:rPr>
          <w:rFonts w:ascii="Arial" w:hAnsi="Arial" w:cs="Arial"/>
          <w:sz w:val="22"/>
          <w:szCs w:val="22"/>
        </w:rPr>
        <w:t>financijskog</w:t>
      </w:r>
      <w:proofErr w:type="spellEnd"/>
      <w:r w:rsidR="00584282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="00584282">
        <w:rPr>
          <w:rFonts w:ascii="Arial" w:hAnsi="Arial" w:cs="Arial"/>
          <w:sz w:val="22"/>
          <w:szCs w:val="22"/>
        </w:rPr>
        <w:t>izvanprorač</w:t>
      </w:r>
      <w:r w:rsidRPr="00956782">
        <w:rPr>
          <w:rFonts w:ascii="Arial" w:hAnsi="Arial" w:cs="Arial"/>
          <w:sz w:val="22"/>
          <w:szCs w:val="22"/>
        </w:rPr>
        <w:t>unski</w:t>
      </w:r>
      <w:proofErr w:type="spellEnd"/>
      <w:r w:rsidRPr="009567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6782">
        <w:rPr>
          <w:rFonts w:ascii="Arial" w:hAnsi="Arial" w:cs="Arial"/>
          <w:sz w:val="22"/>
          <w:szCs w:val="22"/>
        </w:rPr>
        <w:t>ko</w:t>
      </w:r>
      <w:r w:rsidR="00584282">
        <w:rPr>
          <w:rFonts w:ascii="Arial" w:hAnsi="Arial" w:cs="Arial"/>
          <w:sz w:val="22"/>
          <w:szCs w:val="22"/>
        </w:rPr>
        <w:t>risnik</w:t>
      </w:r>
      <w:proofErr w:type="spellEnd"/>
      <w:r w:rsid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>
        <w:rPr>
          <w:rFonts w:ascii="Arial" w:hAnsi="Arial" w:cs="Arial"/>
          <w:sz w:val="22"/>
          <w:szCs w:val="22"/>
        </w:rPr>
        <w:t>jedinice</w:t>
      </w:r>
      <w:proofErr w:type="spellEnd"/>
      <w:r w:rsid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>
        <w:rPr>
          <w:rFonts w:ascii="Arial" w:hAnsi="Arial" w:cs="Arial"/>
          <w:sz w:val="22"/>
          <w:szCs w:val="22"/>
        </w:rPr>
        <w:t>lokalne</w:t>
      </w:r>
      <w:proofErr w:type="spellEnd"/>
      <w:r w:rsid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>
        <w:rPr>
          <w:rFonts w:ascii="Arial" w:hAnsi="Arial" w:cs="Arial"/>
          <w:sz w:val="22"/>
          <w:szCs w:val="22"/>
        </w:rPr>
        <w:t>i</w:t>
      </w:r>
      <w:proofErr w:type="spellEnd"/>
      <w:r w:rsid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>
        <w:rPr>
          <w:rFonts w:ascii="Arial" w:hAnsi="Arial" w:cs="Arial"/>
          <w:sz w:val="22"/>
          <w:szCs w:val="22"/>
        </w:rPr>
        <w:t>područ</w:t>
      </w:r>
      <w:r w:rsidRPr="00956782">
        <w:rPr>
          <w:rFonts w:ascii="Arial" w:hAnsi="Arial" w:cs="Arial"/>
          <w:sz w:val="22"/>
          <w:szCs w:val="22"/>
        </w:rPr>
        <w:t>ne</w:t>
      </w:r>
      <w:proofErr w:type="spellEnd"/>
      <w:r w:rsidRPr="00956782">
        <w:rPr>
          <w:rFonts w:ascii="Arial" w:hAnsi="Arial" w:cs="Arial"/>
          <w:sz w:val="22"/>
          <w:szCs w:val="22"/>
        </w:rPr>
        <w:t xml:space="preserve"> </w:t>
      </w:r>
      <w:r w:rsidR="00584282" w:rsidRPr="00584282">
        <w:rPr>
          <w:rFonts w:ascii="Arial" w:hAnsi="Arial" w:cs="Arial"/>
          <w:sz w:val="22"/>
          <w:szCs w:val="22"/>
        </w:rPr>
        <w:t>(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regionalne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samoupr</w:t>
      </w:r>
      <w:r w:rsidR="00584282">
        <w:rPr>
          <w:rFonts w:ascii="Arial" w:hAnsi="Arial" w:cs="Arial"/>
          <w:sz w:val="22"/>
          <w:szCs w:val="22"/>
        </w:rPr>
        <w:t>ave</w:t>
      </w:r>
      <w:proofErr w:type="spellEnd"/>
      <w:r w:rsid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dostavlja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nadležnom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upravnom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tijelu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rokovima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koje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utvrdi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nadležna</w:t>
      </w:r>
      <w:proofErr w:type="spellEnd"/>
      <w:r w:rsidR="005778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782D">
        <w:rPr>
          <w:rFonts w:ascii="Arial" w:hAnsi="Arial" w:cs="Arial"/>
          <w:sz w:val="22"/>
          <w:szCs w:val="22"/>
        </w:rPr>
        <w:t>jedinica</w:t>
      </w:r>
      <w:proofErr w:type="spellEnd"/>
      <w:r w:rsidR="0057782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7782D">
        <w:rPr>
          <w:rFonts w:ascii="Arial" w:hAnsi="Arial" w:cs="Arial"/>
          <w:sz w:val="22"/>
          <w:szCs w:val="22"/>
        </w:rPr>
        <w:t>svojim</w:t>
      </w:r>
      <w:proofErr w:type="spellEnd"/>
      <w:r w:rsidR="005778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782D">
        <w:rPr>
          <w:rFonts w:ascii="Arial" w:hAnsi="Arial" w:cs="Arial"/>
          <w:sz w:val="22"/>
          <w:szCs w:val="22"/>
        </w:rPr>
        <w:t>uputama</w:t>
      </w:r>
      <w:proofErr w:type="spellEnd"/>
      <w:r w:rsidR="0057782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7782D">
        <w:rPr>
          <w:rFonts w:ascii="Arial" w:hAnsi="Arial" w:cs="Arial"/>
          <w:sz w:val="22"/>
          <w:szCs w:val="22"/>
        </w:rPr>
        <w:t>nač</w:t>
      </w:r>
      <w:r w:rsidR="00584282" w:rsidRPr="00584282">
        <w:rPr>
          <w:rFonts w:ascii="Arial" w:hAnsi="Arial" w:cs="Arial"/>
          <w:sz w:val="22"/>
          <w:szCs w:val="22"/>
        </w:rPr>
        <w:t>inu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i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rokovima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izrade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i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dostave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financijskih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282" w:rsidRPr="00584282">
        <w:rPr>
          <w:rFonts w:ascii="Arial" w:hAnsi="Arial" w:cs="Arial"/>
          <w:sz w:val="22"/>
          <w:szCs w:val="22"/>
        </w:rPr>
        <w:t>planova</w:t>
      </w:r>
      <w:proofErr w:type="spellEnd"/>
      <w:r w:rsidR="00584282" w:rsidRPr="00584282">
        <w:rPr>
          <w:rFonts w:ascii="Arial" w:hAnsi="Arial" w:cs="Arial"/>
          <w:sz w:val="22"/>
          <w:szCs w:val="22"/>
        </w:rPr>
        <w:t xml:space="preserve">. </w:t>
      </w:r>
    </w:p>
    <w:p w14:paraId="1CC98920" w14:textId="77777777" w:rsidR="00584282" w:rsidRPr="00584282" w:rsidRDefault="00584282" w:rsidP="00584282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7A9E58ED" w14:textId="77777777" w:rsidR="00584282" w:rsidRPr="00584282" w:rsidRDefault="00584282" w:rsidP="00584282">
      <w:pPr>
        <w:pStyle w:val="Obini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Zakonom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proračunu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predstavnič</w:t>
      </w:r>
      <w:r w:rsidRPr="00584282">
        <w:rPr>
          <w:rFonts w:ascii="Arial" w:hAnsi="Arial" w:cs="Arial"/>
          <w:sz w:val="22"/>
          <w:szCs w:val="22"/>
        </w:rPr>
        <w:t>ko</w:t>
      </w:r>
      <w:proofErr w:type="spellEnd"/>
      <w:r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282">
        <w:rPr>
          <w:rFonts w:ascii="Arial" w:hAnsi="Arial" w:cs="Arial"/>
          <w:sz w:val="22"/>
          <w:szCs w:val="22"/>
        </w:rPr>
        <w:t>tijelo</w:t>
      </w:r>
      <w:proofErr w:type="spellEnd"/>
      <w:r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282">
        <w:rPr>
          <w:rFonts w:ascii="Arial" w:hAnsi="Arial" w:cs="Arial"/>
          <w:sz w:val="22"/>
          <w:szCs w:val="22"/>
        </w:rPr>
        <w:t>daje</w:t>
      </w:r>
      <w:proofErr w:type="spellEnd"/>
      <w:r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282">
        <w:rPr>
          <w:rFonts w:ascii="Arial" w:hAnsi="Arial" w:cs="Arial"/>
          <w:sz w:val="22"/>
          <w:szCs w:val="22"/>
        </w:rPr>
        <w:t>suglasnost</w:t>
      </w:r>
      <w:proofErr w:type="spellEnd"/>
      <w:r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282">
        <w:rPr>
          <w:rFonts w:ascii="Arial" w:hAnsi="Arial" w:cs="Arial"/>
          <w:sz w:val="22"/>
          <w:szCs w:val="22"/>
        </w:rPr>
        <w:t>na</w:t>
      </w:r>
      <w:proofErr w:type="spellEnd"/>
      <w:r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282">
        <w:rPr>
          <w:rFonts w:ascii="Arial" w:hAnsi="Arial" w:cs="Arial"/>
          <w:sz w:val="22"/>
          <w:szCs w:val="22"/>
        </w:rPr>
        <w:t>prijedlog</w:t>
      </w:r>
      <w:proofErr w:type="spellEnd"/>
      <w:r w:rsidRPr="005842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282">
        <w:rPr>
          <w:rFonts w:ascii="Arial" w:hAnsi="Arial" w:cs="Arial"/>
          <w:sz w:val="22"/>
          <w:szCs w:val="22"/>
        </w:rPr>
        <w:t>financijskog</w:t>
      </w:r>
      <w:proofErr w:type="spellEnd"/>
      <w:r w:rsidRPr="00584282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lana </w:t>
      </w:r>
      <w:proofErr w:type="spellStart"/>
      <w:r>
        <w:rPr>
          <w:rFonts w:ascii="Arial" w:hAnsi="Arial" w:cs="Arial"/>
          <w:sz w:val="22"/>
          <w:szCs w:val="22"/>
        </w:rPr>
        <w:t>zajedno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donošenjem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jedinice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</w:t>
      </w:r>
      <w:r w:rsidRPr="00584282">
        <w:rPr>
          <w:rFonts w:ascii="Arial" w:hAnsi="Arial" w:cs="Arial"/>
          <w:sz w:val="22"/>
          <w:szCs w:val="22"/>
        </w:rPr>
        <w:t>ne</w:t>
      </w:r>
      <w:proofErr w:type="spellEnd"/>
      <w:r w:rsidRPr="0058428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84282">
        <w:rPr>
          <w:rFonts w:ascii="Arial" w:hAnsi="Arial" w:cs="Arial"/>
          <w:sz w:val="22"/>
          <w:szCs w:val="22"/>
        </w:rPr>
        <w:t>regionalne</w:t>
      </w:r>
      <w:proofErr w:type="spellEnd"/>
      <w:r w:rsidRPr="0058428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84282">
        <w:rPr>
          <w:rFonts w:ascii="Arial" w:hAnsi="Arial" w:cs="Arial"/>
          <w:sz w:val="22"/>
          <w:szCs w:val="22"/>
        </w:rPr>
        <w:t>samouprave</w:t>
      </w:r>
      <w:proofErr w:type="spellEnd"/>
      <w:r w:rsidRPr="00584282">
        <w:rPr>
          <w:rFonts w:ascii="Arial" w:hAnsi="Arial" w:cs="Arial"/>
          <w:sz w:val="22"/>
          <w:szCs w:val="22"/>
        </w:rPr>
        <w:t xml:space="preserve">. </w:t>
      </w:r>
    </w:p>
    <w:p w14:paraId="27C6872B" w14:textId="77777777" w:rsidR="00956782" w:rsidRPr="00956782" w:rsidRDefault="00956782" w:rsidP="00956782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063C34E5" w14:textId="77777777" w:rsidR="00A52C89" w:rsidRDefault="00A52C89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4EC5F87A" w14:textId="77777777" w:rsidR="00AE3F9D" w:rsidRDefault="00AE3F9D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1BDA3E82" w14:textId="77777777" w:rsidR="005D2174" w:rsidRDefault="005D2174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1E9CC111" w14:textId="77777777" w:rsidR="005D2174" w:rsidRDefault="005D2174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7EA779B8" w14:textId="77777777" w:rsidR="005D2174" w:rsidRDefault="005D2174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79F59228" w14:textId="77777777" w:rsidR="005D2174" w:rsidRDefault="005D2174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5CF514B8" w14:textId="77777777" w:rsidR="008E5DD2" w:rsidRDefault="008E5DD2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4128D15A" w14:textId="77777777" w:rsidR="008E5DD2" w:rsidRDefault="008E5DD2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55F442DC" w14:textId="77777777" w:rsidR="008E5DD2" w:rsidRDefault="008E5DD2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16B5D19C" w14:textId="77777777" w:rsidR="008E5DD2" w:rsidRDefault="008E5DD2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5836FF6C" w14:textId="6D6A0F1A" w:rsidR="008E5DD2" w:rsidRDefault="008E5DD2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18D259C6" w14:textId="77777777" w:rsidR="00A61B1D" w:rsidRDefault="00A61B1D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50F1C373" w14:textId="77777777" w:rsidR="005D2174" w:rsidRDefault="005D2174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65E3FE39" w14:textId="77777777" w:rsidR="005D2174" w:rsidRDefault="005D2174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769CBCAD" w14:textId="77777777" w:rsidR="00AE3F9D" w:rsidRDefault="00AE3F9D" w:rsidP="00956782">
      <w:pPr>
        <w:pStyle w:val="Obinitekst"/>
        <w:jc w:val="both"/>
        <w:rPr>
          <w:rFonts w:ascii="Arial" w:hAnsi="Arial" w:cs="Arial"/>
          <w:b/>
          <w:sz w:val="22"/>
          <w:szCs w:val="22"/>
        </w:rPr>
      </w:pPr>
    </w:p>
    <w:p w14:paraId="75FF2F3B" w14:textId="77777777" w:rsidR="00AE3F9D" w:rsidRPr="00AE3F9D" w:rsidRDefault="00AE3F9D" w:rsidP="00AE3F9D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E3F9D">
        <w:rPr>
          <w:rFonts w:ascii="Arial" w:hAnsi="Arial" w:cs="Arial"/>
          <w:b/>
          <w:sz w:val="24"/>
          <w:szCs w:val="24"/>
        </w:rPr>
        <w:lastRenderedPageBreak/>
        <w:t>8. TERMINSKI PLAN ZA IZRADU PRORAČUNA I PRIJEDLOGA FINANCIJSKIH PLANOVA KORISNIKA PRORAČUNA</w:t>
      </w:r>
    </w:p>
    <w:p w14:paraId="59C3EA56" w14:textId="77777777" w:rsidR="00AE3F9D" w:rsidRDefault="00AE3F9D" w:rsidP="00AE3F9D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</w:p>
    <w:p w14:paraId="4C01C17A" w14:textId="77777777" w:rsidR="00207B33" w:rsidRDefault="00207B33" w:rsidP="00AE3F9D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4961"/>
        <w:gridCol w:w="1388"/>
      </w:tblGrid>
      <w:tr w:rsidR="00424AD6" w:rsidRPr="00424AD6" w14:paraId="33A20E58" w14:textId="77777777" w:rsidTr="00047084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A685629" w14:textId="77777777" w:rsidR="00424AD6" w:rsidRPr="00424AD6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4AD6">
              <w:rPr>
                <w:rFonts w:ascii="Arial" w:hAnsi="Arial" w:cs="Arial"/>
                <w:b/>
                <w:sz w:val="20"/>
                <w:szCs w:val="20"/>
              </w:rPr>
              <w:t>Red.br.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FBE51DE" w14:textId="77777777" w:rsidR="00424AD6" w:rsidRPr="00424AD6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Izvršitelj</w:t>
            </w:r>
            <w:proofErr w:type="spellEnd"/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3576594" w14:textId="77777777" w:rsidR="00424AD6" w:rsidRPr="00424AD6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1AE08D86" w14:textId="77777777" w:rsidR="00424AD6" w:rsidRPr="00424AD6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Rok</w:t>
            </w:r>
            <w:proofErr w:type="spellEnd"/>
          </w:p>
        </w:tc>
      </w:tr>
      <w:tr w:rsidR="00424AD6" w:rsidRPr="00424AD6" w14:paraId="48F7B055" w14:textId="77777777" w:rsidTr="00047084">
        <w:tc>
          <w:tcPr>
            <w:tcW w:w="675" w:type="dxa"/>
            <w:vAlign w:val="center"/>
          </w:tcPr>
          <w:p w14:paraId="6B0D1670" w14:textId="77777777" w:rsidR="00424AD6" w:rsidRPr="00424AD6" w:rsidRDefault="00424AD6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A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14:paraId="7022CA09" w14:textId="77777777" w:rsidR="00424AD6" w:rsidRPr="00424AD6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odjel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financije</w:t>
            </w:r>
            <w:proofErr w:type="spellEnd"/>
          </w:p>
        </w:tc>
        <w:tc>
          <w:tcPr>
            <w:tcW w:w="4961" w:type="dxa"/>
            <w:vAlign w:val="center"/>
          </w:tcPr>
          <w:p w14:paraId="01ADA526" w14:textId="72C9C108" w:rsidR="00424AD6" w:rsidRPr="00424AD6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Sastavlja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Upute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izradu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B64578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="00B64578">
              <w:rPr>
                <w:rFonts w:ascii="Arial" w:hAnsi="Arial" w:cs="Arial"/>
                <w:sz w:val="20"/>
                <w:szCs w:val="20"/>
              </w:rPr>
              <w:t xml:space="preserve"> Garešnica za </w:t>
            </w:r>
            <w:proofErr w:type="spellStart"/>
            <w:r w:rsidR="00B64578">
              <w:rPr>
                <w:rFonts w:ascii="Arial" w:hAnsi="Arial" w:cs="Arial"/>
                <w:sz w:val="20"/>
                <w:szCs w:val="20"/>
              </w:rPr>
              <w:t>razdoblje</w:t>
            </w:r>
            <w:proofErr w:type="spellEnd"/>
            <w:r w:rsidR="00B6457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5D2174">
              <w:rPr>
                <w:rFonts w:ascii="Arial" w:hAnsi="Arial" w:cs="Arial"/>
                <w:sz w:val="20"/>
                <w:szCs w:val="20"/>
              </w:rPr>
              <w:t>2</w:t>
            </w:r>
            <w:r w:rsidR="00DC7ED8">
              <w:rPr>
                <w:rFonts w:ascii="Arial" w:hAnsi="Arial" w:cs="Arial"/>
                <w:sz w:val="20"/>
                <w:szCs w:val="20"/>
              </w:rPr>
              <w:t>2</w:t>
            </w:r>
            <w:r w:rsidR="00B64578">
              <w:rPr>
                <w:rFonts w:ascii="Arial" w:hAnsi="Arial" w:cs="Arial"/>
                <w:sz w:val="20"/>
                <w:szCs w:val="20"/>
              </w:rPr>
              <w:t>. – 20</w:t>
            </w:r>
            <w:r w:rsidR="005D2174">
              <w:rPr>
                <w:rFonts w:ascii="Arial" w:hAnsi="Arial" w:cs="Arial"/>
                <w:sz w:val="20"/>
                <w:szCs w:val="20"/>
              </w:rPr>
              <w:t>2</w:t>
            </w:r>
            <w:r w:rsidR="00DC7ED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dostavlja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Gradonačelniku</w:t>
            </w:r>
            <w:proofErr w:type="spellEnd"/>
          </w:p>
        </w:tc>
        <w:tc>
          <w:tcPr>
            <w:tcW w:w="1388" w:type="dxa"/>
            <w:vAlign w:val="center"/>
          </w:tcPr>
          <w:p w14:paraId="7DA5493D" w14:textId="311AAD5C" w:rsidR="00424AD6" w:rsidRPr="00424AD6" w:rsidRDefault="00DC7ED8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64578">
              <w:rPr>
                <w:rFonts w:ascii="Arial" w:hAnsi="Arial" w:cs="Arial"/>
                <w:sz w:val="20"/>
                <w:szCs w:val="20"/>
              </w:rPr>
              <w:t>.9.20</w:t>
            </w:r>
            <w:r w:rsidR="00D055A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645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4AD6" w:rsidRPr="00424AD6" w14:paraId="30ADC675" w14:textId="77777777" w:rsidTr="00047084">
        <w:tc>
          <w:tcPr>
            <w:tcW w:w="675" w:type="dxa"/>
            <w:vAlign w:val="center"/>
          </w:tcPr>
          <w:p w14:paraId="61349182" w14:textId="77777777" w:rsidR="00424AD6" w:rsidRPr="00424AD6" w:rsidRDefault="00424AD6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14:paraId="38BEFFE5" w14:textId="77777777" w:rsidR="00424AD6" w:rsidRPr="00424AD6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odjel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financije</w:t>
            </w:r>
            <w:proofErr w:type="spellEnd"/>
          </w:p>
        </w:tc>
        <w:tc>
          <w:tcPr>
            <w:tcW w:w="4961" w:type="dxa"/>
            <w:vAlign w:val="center"/>
          </w:tcPr>
          <w:p w14:paraId="126BBB9A" w14:textId="77777777" w:rsidR="00424AD6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 w:rsidRPr="00424AD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dostavlja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Upute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izradu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Upravno</w:t>
            </w:r>
            <w:r w:rsidR="00207B33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="00207B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7B33">
              <w:rPr>
                <w:rFonts w:ascii="Arial" w:hAnsi="Arial" w:cs="Arial"/>
                <w:sz w:val="20"/>
                <w:szCs w:val="20"/>
              </w:rPr>
              <w:t>odjelu</w:t>
            </w:r>
            <w:proofErr w:type="spellEnd"/>
            <w:r w:rsidR="00207B33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="00207B33">
              <w:rPr>
                <w:rFonts w:ascii="Arial" w:hAnsi="Arial" w:cs="Arial"/>
                <w:sz w:val="20"/>
                <w:szCs w:val="20"/>
              </w:rPr>
              <w:t>gospodarstvo</w:t>
            </w:r>
            <w:proofErr w:type="spellEnd"/>
            <w:r w:rsidR="00207B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7B3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207B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7B33">
              <w:rPr>
                <w:rFonts w:ascii="Arial" w:hAnsi="Arial" w:cs="Arial"/>
                <w:sz w:val="20"/>
                <w:szCs w:val="20"/>
              </w:rPr>
              <w:t>opće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poslove</w:t>
            </w:r>
            <w:proofErr w:type="spellEnd"/>
          </w:p>
          <w:p w14:paraId="4BE3780D" w14:textId="1C105DAD" w:rsidR="00805C13" w:rsidRPr="00424AD6" w:rsidRDefault="00424AD6" w:rsidP="00B64578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dostavlja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Uputu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izradu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proračuna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proračunskim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korisnicima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Javnoj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vatrogasnoj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postrojbi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Dječijem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vrtiću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084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="00047084">
              <w:rPr>
                <w:rFonts w:ascii="Arial" w:hAnsi="Arial" w:cs="Arial"/>
                <w:sz w:val="20"/>
                <w:szCs w:val="20"/>
              </w:rPr>
              <w:t>Maslačak</w:t>
            </w:r>
            <w:proofErr w:type="spellEnd"/>
            <w:r w:rsidR="00047084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gramStart"/>
            <w:r w:rsidR="00047084">
              <w:rPr>
                <w:rFonts w:ascii="Arial" w:hAnsi="Arial" w:cs="Arial"/>
                <w:sz w:val="20"/>
                <w:szCs w:val="20"/>
              </w:rPr>
              <w:t xml:space="preserve">Garešnica </w:t>
            </w:r>
            <w:r w:rsidR="00805C13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805C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Knjižnici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čitaonici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Đuro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C13">
              <w:rPr>
                <w:rFonts w:ascii="Arial" w:hAnsi="Arial" w:cs="Arial"/>
                <w:sz w:val="20"/>
                <w:szCs w:val="20"/>
              </w:rPr>
              <w:t>Sudeta</w:t>
            </w:r>
            <w:proofErr w:type="spellEnd"/>
            <w:r w:rsidR="00805C13">
              <w:rPr>
                <w:rFonts w:ascii="Arial" w:hAnsi="Arial" w:cs="Arial"/>
                <w:sz w:val="20"/>
                <w:szCs w:val="20"/>
              </w:rPr>
              <w:t>” Garešnica</w:t>
            </w:r>
          </w:p>
        </w:tc>
        <w:tc>
          <w:tcPr>
            <w:tcW w:w="1388" w:type="dxa"/>
            <w:vAlign w:val="center"/>
          </w:tcPr>
          <w:p w14:paraId="70816FE0" w14:textId="3A422348" w:rsidR="00424AD6" w:rsidRPr="00424AD6" w:rsidRDefault="00972B28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64578">
              <w:rPr>
                <w:rFonts w:ascii="Arial" w:hAnsi="Arial" w:cs="Arial"/>
                <w:sz w:val="20"/>
                <w:szCs w:val="20"/>
              </w:rPr>
              <w:t>.9.20</w:t>
            </w:r>
            <w:r w:rsidR="00D055AA">
              <w:rPr>
                <w:rFonts w:ascii="Arial" w:hAnsi="Arial" w:cs="Arial"/>
                <w:sz w:val="20"/>
                <w:szCs w:val="20"/>
              </w:rPr>
              <w:t>2</w:t>
            </w:r>
            <w:r w:rsidR="00DC7ED8">
              <w:rPr>
                <w:rFonts w:ascii="Arial" w:hAnsi="Arial" w:cs="Arial"/>
                <w:sz w:val="20"/>
                <w:szCs w:val="20"/>
              </w:rPr>
              <w:t>1</w:t>
            </w:r>
            <w:r w:rsidR="00805C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4AD6" w:rsidRPr="00424AD6" w14:paraId="68D908FF" w14:textId="77777777" w:rsidTr="00047084">
        <w:tc>
          <w:tcPr>
            <w:tcW w:w="675" w:type="dxa"/>
            <w:vAlign w:val="center"/>
          </w:tcPr>
          <w:p w14:paraId="15A34781" w14:textId="77777777" w:rsidR="00424AD6" w:rsidRPr="00424AD6" w:rsidRDefault="00805C1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vAlign w:val="center"/>
          </w:tcPr>
          <w:p w14:paraId="33FAE0E7" w14:textId="77777777" w:rsidR="00424AD6" w:rsidRPr="00424AD6" w:rsidRDefault="00805C13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Proračunski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korisnici</w:t>
            </w:r>
            <w:proofErr w:type="spellEnd"/>
          </w:p>
        </w:tc>
        <w:tc>
          <w:tcPr>
            <w:tcW w:w="4961" w:type="dxa"/>
            <w:vAlign w:val="center"/>
          </w:tcPr>
          <w:p w14:paraId="3A92CADF" w14:textId="76F72405" w:rsidR="00424AD6" w:rsidRPr="00424AD6" w:rsidRDefault="00805C13" w:rsidP="00805C13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Garešnica,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odnosno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odjelu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dostavljaju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ovjerene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prijedloge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financijskih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planova</w:t>
            </w:r>
            <w:proofErr w:type="spellEnd"/>
            <w:r w:rsidR="00DC7ED8">
              <w:rPr>
                <w:rFonts w:ascii="Arial" w:hAnsi="Arial" w:cs="Arial"/>
                <w:sz w:val="20"/>
                <w:szCs w:val="20"/>
              </w:rPr>
              <w:t xml:space="preserve"> za 2022.</w:t>
            </w:r>
            <w:r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obrazloženjem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projekcije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B64578">
              <w:rPr>
                <w:rFonts w:ascii="Arial" w:hAnsi="Arial" w:cs="Arial"/>
                <w:sz w:val="20"/>
                <w:szCs w:val="20"/>
              </w:rPr>
              <w:t>a 20</w:t>
            </w:r>
            <w:r w:rsidR="005D2174">
              <w:rPr>
                <w:rFonts w:ascii="Arial" w:hAnsi="Arial" w:cs="Arial"/>
                <w:sz w:val="20"/>
                <w:szCs w:val="20"/>
              </w:rPr>
              <w:t>2</w:t>
            </w:r>
            <w:r w:rsidR="00DC7ED8">
              <w:rPr>
                <w:rFonts w:ascii="Arial" w:hAnsi="Arial" w:cs="Arial"/>
                <w:sz w:val="20"/>
                <w:szCs w:val="20"/>
              </w:rPr>
              <w:t>3</w:t>
            </w:r>
            <w:r w:rsidR="00B6457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6457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B6457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5D2174">
              <w:rPr>
                <w:rFonts w:ascii="Arial" w:hAnsi="Arial" w:cs="Arial"/>
                <w:sz w:val="20"/>
                <w:szCs w:val="20"/>
              </w:rPr>
              <w:t>2</w:t>
            </w:r>
            <w:r w:rsidR="00DC7ED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047084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odinu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388" w:type="dxa"/>
            <w:vAlign w:val="center"/>
          </w:tcPr>
          <w:p w14:paraId="2C7D9565" w14:textId="2574A6A7" w:rsidR="00424AD6" w:rsidRPr="00424AD6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15.9.20</w:t>
            </w:r>
            <w:r w:rsidR="00D055AA">
              <w:rPr>
                <w:rFonts w:ascii="Arial" w:hAnsi="Arial" w:cs="Arial"/>
                <w:sz w:val="20"/>
                <w:szCs w:val="20"/>
              </w:rPr>
              <w:t>2</w:t>
            </w:r>
            <w:r w:rsidR="00DC7ED8">
              <w:rPr>
                <w:rFonts w:ascii="Arial" w:hAnsi="Arial" w:cs="Arial"/>
                <w:sz w:val="20"/>
                <w:szCs w:val="20"/>
              </w:rPr>
              <w:t>1</w:t>
            </w:r>
            <w:r w:rsidR="00805C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4AD6" w:rsidRPr="00424AD6" w14:paraId="7D088F8B" w14:textId="77777777" w:rsidTr="00047084">
        <w:tc>
          <w:tcPr>
            <w:tcW w:w="675" w:type="dxa"/>
            <w:vAlign w:val="center"/>
          </w:tcPr>
          <w:p w14:paraId="693B1F83" w14:textId="77777777" w:rsidR="00424AD6" w:rsidRPr="00424AD6" w:rsidRDefault="00805C1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vAlign w:val="center"/>
          </w:tcPr>
          <w:p w14:paraId="1C34CE9E" w14:textId="77777777" w:rsidR="00424AD6" w:rsidRPr="00424AD6" w:rsidRDefault="00805C13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odjeli</w:t>
            </w:r>
            <w:proofErr w:type="spellEnd"/>
          </w:p>
        </w:tc>
        <w:tc>
          <w:tcPr>
            <w:tcW w:w="4961" w:type="dxa"/>
            <w:vAlign w:val="center"/>
          </w:tcPr>
          <w:p w14:paraId="30E737B3" w14:textId="77777777" w:rsidR="00424AD6" w:rsidRPr="00424AD6" w:rsidRDefault="00805C13" w:rsidP="00805C13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Dostavljaju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odjelu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prijedlog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financijs</w:t>
            </w:r>
            <w:r w:rsidR="00047084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definirati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aktivnosti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sastavljene</w:t>
            </w:r>
            <w:proofErr w:type="spellEnd"/>
            <w:r w:rsidR="00207B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temeljem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vlastitih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saznanja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usaglašenih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potreba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okviru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svoje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nadležnosti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vAlign w:val="center"/>
          </w:tcPr>
          <w:p w14:paraId="31509FA0" w14:textId="7652D966" w:rsidR="00424AD6" w:rsidRPr="00424AD6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15.9.20</w:t>
            </w:r>
            <w:r w:rsidR="00D055AA">
              <w:rPr>
                <w:rFonts w:ascii="Arial" w:hAnsi="Arial" w:cs="Arial"/>
                <w:sz w:val="20"/>
                <w:szCs w:val="20"/>
              </w:rPr>
              <w:t>2</w:t>
            </w:r>
            <w:r w:rsidR="00DC7ED8">
              <w:rPr>
                <w:rFonts w:ascii="Arial" w:hAnsi="Arial" w:cs="Arial"/>
                <w:sz w:val="20"/>
                <w:szCs w:val="20"/>
              </w:rPr>
              <w:t>1</w:t>
            </w:r>
            <w:r w:rsidR="00207B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4AD6" w:rsidRPr="00424AD6" w14:paraId="43CF8C23" w14:textId="77777777" w:rsidTr="00047084">
        <w:tc>
          <w:tcPr>
            <w:tcW w:w="675" w:type="dxa"/>
            <w:vAlign w:val="center"/>
          </w:tcPr>
          <w:p w14:paraId="4C77C035" w14:textId="77777777" w:rsidR="00424AD6" w:rsidRPr="00424AD6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vAlign w:val="center"/>
          </w:tcPr>
          <w:p w14:paraId="29157CB5" w14:textId="77777777" w:rsidR="00424AD6" w:rsidRPr="00424AD6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odjel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financije</w:t>
            </w:r>
            <w:proofErr w:type="spellEnd"/>
          </w:p>
        </w:tc>
        <w:tc>
          <w:tcPr>
            <w:tcW w:w="4961" w:type="dxa"/>
            <w:vAlign w:val="center"/>
          </w:tcPr>
          <w:p w14:paraId="385E0239" w14:textId="1D9D30EF" w:rsidR="00424AD6" w:rsidRPr="00424AD6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Sukladno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članku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37.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stavak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4578">
              <w:rPr>
                <w:rFonts w:ascii="Arial" w:hAnsi="Arial" w:cs="Arial"/>
                <w:sz w:val="20"/>
                <w:szCs w:val="20"/>
              </w:rPr>
              <w:t>izrađuje</w:t>
            </w:r>
            <w:proofErr w:type="spellEnd"/>
            <w:r w:rsidR="00B645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4578">
              <w:rPr>
                <w:rFonts w:ascii="Arial" w:hAnsi="Arial" w:cs="Arial"/>
                <w:sz w:val="20"/>
                <w:szCs w:val="20"/>
              </w:rPr>
              <w:t>nacrt</w:t>
            </w:r>
            <w:proofErr w:type="spellEnd"/>
            <w:r w:rsidR="00B645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4578">
              <w:rPr>
                <w:rFonts w:ascii="Arial" w:hAnsi="Arial" w:cs="Arial"/>
                <w:sz w:val="20"/>
                <w:szCs w:val="20"/>
              </w:rPr>
              <w:t>proračuna</w:t>
            </w:r>
            <w:proofErr w:type="spellEnd"/>
            <w:r w:rsidR="00B64578">
              <w:rPr>
                <w:rFonts w:ascii="Arial" w:hAnsi="Arial" w:cs="Arial"/>
                <w:sz w:val="20"/>
                <w:szCs w:val="20"/>
              </w:rPr>
              <w:t xml:space="preserve"> za 20</w:t>
            </w:r>
            <w:r w:rsidR="009B5EC8">
              <w:rPr>
                <w:rFonts w:ascii="Arial" w:hAnsi="Arial" w:cs="Arial"/>
                <w:sz w:val="20"/>
                <w:szCs w:val="20"/>
              </w:rPr>
              <w:t>2</w:t>
            </w:r>
            <w:r w:rsidR="00DC7ED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projekciju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slijedeće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dvije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dostavlja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Gradonačelniku</w:t>
            </w:r>
            <w:proofErr w:type="spellEnd"/>
          </w:p>
        </w:tc>
        <w:tc>
          <w:tcPr>
            <w:tcW w:w="1388" w:type="dxa"/>
            <w:vAlign w:val="center"/>
          </w:tcPr>
          <w:p w14:paraId="09880FB7" w14:textId="50B16B87" w:rsidR="00424AD6" w:rsidRPr="00424AD6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</w:t>
            </w:r>
            <w:r w:rsidR="00D055AA">
              <w:rPr>
                <w:rFonts w:ascii="Arial" w:hAnsi="Arial" w:cs="Arial"/>
                <w:sz w:val="20"/>
                <w:szCs w:val="20"/>
              </w:rPr>
              <w:t>2</w:t>
            </w:r>
            <w:r w:rsidR="00DC7ED8">
              <w:rPr>
                <w:rFonts w:ascii="Arial" w:hAnsi="Arial" w:cs="Arial"/>
                <w:sz w:val="20"/>
                <w:szCs w:val="20"/>
              </w:rPr>
              <w:t>1</w:t>
            </w:r>
            <w:r w:rsidR="00207B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4AD6" w:rsidRPr="00424AD6" w14:paraId="01413E73" w14:textId="77777777" w:rsidTr="00047084">
        <w:tc>
          <w:tcPr>
            <w:tcW w:w="675" w:type="dxa"/>
            <w:vAlign w:val="center"/>
          </w:tcPr>
          <w:p w14:paraId="0C3FFE73" w14:textId="77777777" w:rsidR="00424AD6" w:rsidRPr="00424AD6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2552" w:type="dxa"/>
            <w:vAlign w:val="center"/>
          </w:tcPr>
          <w:p w14:paraId="0E112C31" w14:textId="77777777" w:rsidR="00424AD6" w:rsidRPr="00424AD6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Gradonačelnik</w:t>
            </w:r>
            <w:proofErr w:type="spellEnd"/>
          </w:p>
        </w:tc>
        <w:tc>
          <w:tcPr>
            <w:tcW w:w="4961" w:type="dxa"/>
            <w:vAlign w:val="center"/>
          </w:tcPr>
          <w:p w14:paraId="43D8FFEF" w14:textId="77777777" w:rsidR="00424AD6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Utvrđuje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prijedlog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projekcija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dostavlja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Odboru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razmatranje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Gradskom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vijeću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donošenje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sukladno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37. st.4.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DF4D23" w14:textId="77777777" w:rsidR="00207B33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prijedloga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projekcija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internetskim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stranicama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Garešnica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sukladno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Uputama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Ministarstva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F9F2555" w14:textId="77777777" w:rsidR="00207B33" w:rsidRPr="00424AD6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47682431" w14:textId="1E7739DE" w:rsidR="00424AD6" w:rsidRPr="00424AD6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15.11.20</w:t>
            </w:r>
            <w:r w:rsidR="00D055AA">
              <w:rPr>
                <w:rFonts w:ascii="Arial" w:hAnsi="Arial" w:cs="Arial"/>
                <w:sz w:val="20"/>
                <w:szCs w:val="20"/>
              </w:rPr>
              <w:t>2</w:t>
            </w:r>
            <w:r w:rsidR="006E2346">
              <w:rPr>
                <w:rFonts w:ascii="Arial" w:hAnsi="Arial" w:cs="Arial"/>
                <w:sz w:val="20"/>
                <w:szCs w:val="20"/>
              </w:rPr>
              <w:t>1</w:t>
            </w:r>
            <w:r w:rsidR="00207B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4AD6" w:rsidRPr="00424AD6" w14:paraId="31221016" w14:textId="77777777" w:rsidTr="00047084">
        <w:tc>
          <w:tcPr>
            <w:tcW w:w="675" w:type="dxa"/>
            <w:vAlign w:val="center"/>
          </w:tcPr>
          <w:p w14:paraId="3F0582AA" w14:textId="77777777" w:rsidR="00424AD6" w:rsidRPr="00424AD6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vAlign w:val="center"/>
          </w:tcPr>
          <w:p w14:paraId="51729923" w14:textId="77777777" w:rsidR="00424AD6" w:rsidRPr="00424AD6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Gradsko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vijeće</w:t>
            </w:r>
            <w:proofErr w:type="spellEnd"/>
          </w:p>
        </w:tc>
        <w:tc>
          <w:tcPr>
            <w:tcW w:w="4961" w:type="dxa"/>
            <w:vAlign w:val="center"/>
          </w:tcPr>
          <w:p w14:paraId="3469AFCE" w14:textId="482B067C" w:rsidR="00424AD6" w:rsidRPr="00424AD6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Donosi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20</w:t>
            </w:r>
            <w:r w:rsidR="009B5EC8">
              <w:rPr>
                <w:rFonts w:ascii="Arial" w:hAnsi="Arial" w:cs="Arial"/>
                <w:sz w:val="20"/>
                <w:szCs w:val="20"/>
              </w:rPr>
              <w:t>2</w:t>
            </w:r>
            <w:r w:rsidR="006E234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projekciju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20</w:t>
            </w:r>
            <w:r w:rsidR="009B5EC8">
              <w:rPr>
                <w:rFonts w:ascii="Arial" w:hAnsi="Arial" w:cs="Arial"/>
                <w:sz w:val="20"/>
                <w:szCs w:val="20"/>
              </w:rPr>
              <w:t>2</w:t>
            </w:r>
            <w:r w:rsidR="006E234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9B5EC8">
              <w:rPr>
                <w:rFonts w:ascii="Arial" w:hAnsi="Arial" w:cs="Arial"/>
                <w:sz w:val="20"/>
                <w:szCs w:val="20"/>
              </w:rPr>
              <w:t>2</w:t>
            </w:r>
            <w:r w:rsidR="006E2346">
              <w:rPr>
                <w:rFonts w:ascii="Arial" w:hAnsi="Arial" w:cs="Arial"/>
                <w:sz w:val="20"/>
                <w:szCs w:val="20"/>
              </w:rPr>
              <w:t>4</w:t>
            </w:r>
            <w:proofErr w:type="gramStart"/>
            <w:r w:rsidR="00207B33">
              <w:rPr>
                <w:rFonts w:ascii="Arial" w:hAnsi="Arial" w:cs="Arial"/>
                <w:sz w:val="20"/>
                <w:szCs w:val="20"/>
              </w:rPr>
              <w:t xml:space="preserve">.,  </w:t>
            </w:r>
            <w:proofErr w:type="spellStart"/>
            <w:r w:rsidR="00207B3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  <w:r w:rsidR="00207B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7B33">
              <w:rPr>
                <w:rFonts w:ascii="Arial" w:hAnsi="Arial" w:cs="Arial"/>
                <w:sz w:val="20"/>
                <w:szCs w:val="20"/>
              </w:rPr>
              <w:t>Odlu</w:t>
            </w:r>
            <w:r>
              <w:rPr>
                <w:rFonts w:ascii="Arial" w:hAnsi="Arial" w:cs="Arial"/>
                <w:sz w:val="20"/>
                <w:szCs w:val="20"/>
              </w:rPr>
              <w:t>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izvršenju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proračuna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20</w:t>
            </w:r>
            <w:r w:rsidR="009B5EC8">
              <w:rPr>
                <w:rFonts w:ascii="Arial" w:hAnsi="Arial" w:cs="Arial"/>
                <w:sz w:val="20"/>
                <w:szCs w:val="20"/>
              </w:rPr>
              <w:t>2</w:t>
            </w:r>
            <w:r w:rsidR="00D055AA">
              <w:rPr>
                <w:rFonts w:ascii="Arial" w:hAnsi="Arial" w:cs="Arial"/>
                <w:sz w:val="20"/>
                <w:szCs w:val="20"/>
              </w:rPr>
              <w:t>1</w:t>
            </w:r>
            <w:r w:rsidR="00207B3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207B33">
              <w:rPr>
                <w:rFonts w:ascii="Arial" w:hAnsi="Arial" w:cs="Arial"/>
                <w:sz w:val="20"/>
                <w:szCs w:val="20"/>
              </w:rPr>
              <w:t>godinu</w:t>
            </w:r>
            <w:proofErr w:type="spellEnd"/>
          </w:p>
        </w:tc>
        <w:tc>
          <w:tcPr>
            <w:tcW w:w="1388" w:type="dxa"/>
            <w:vAlign w:val="center"/>
          </w:tcPr>
          <w:p w14:paraId="558A2E61" w14:textId="05D05167" w:rsidR="00424AD6" w:rsidRPr="00424AD6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64578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="00B64578">
              <w:rPr>
                <w:rFonts w:ascii="Arial" w:hAnsi="Arial" w:cs="Arial"/>
                <w:sz w:val="20"/>
                <w:szCs w:val="20"/>
              </w:rPr>
              <w:t>kraja</w:t>
            </w:r>
            <w:proofErr w:type="spellEnd"/>
            <w:r w:rsidR="00B64578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D055AA">
              <w:rPr>
                <w:rFonts w:ascii="Arial" w:hAnsi="Arial" w:cs="Arial"/>
                <w:sz w:val="20"/>
                <w:szCs w:val="20"/>
              </w:rPr>
              <w:t>2</w:t>
            </w:r>
            <w:r w:rsidR="006E2346">
              <w:rPr>
                <w:rFonts w:ascii="Arial" w:hAnsi="Arial" w:cs="Arial"/>
                <w:sz w:val="20"/>
                <w:szCs w:val="20"/>
              </w:rPr>
              <w:t>1</w:t>
            </w:r>
            <w:r w:rsidR="00207B3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207B33">
              <w:rPr>
                <w:rFonts w:ascii="Arial" w:hAnsi="Arial" w:cs="Arial"/>
                <w:sz w:val="20"/>
                <w:szCs w:val="20"/>
              </w:rPr>
              <w:t>odine</w:t>
            </w:r>
            <w:proofErr w:type="spellEnd"/>
          </w:p>
        </w:tc>
      </w:tr>
      <w:tr w:rsidR="00207B33" w:rsidRPr="00424AD6" w14:paraId="1775D7FE" w14:textId="77777777" w:rsidTr="00047084">
        <w:tc>
          <w:tcPr>
            <w:tcW w:w="675" w:type="dxa"/>
            <w:vAlign w:val="center"/>
          </w:tcPr>
          <w:p w14:paraId="02CFF576" w14:textId="77777777" w:rsidR="00207B33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vAlign w:val="center"/>
          </w:tcPr>
          <w:p w14:paraId="7F085EB2" w14:textId="77777777" w:rsidR="00207B33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odjel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gospodarstvo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poslove</w:t>
            </w:r>
            <w:proofErr w:type="spellEnd"/>
          </w:p>
        </w:tc>
        <w:tc>
          <w:tcPr>
            <w:tcW w:w="4961" w:type="dxa"/>
            <w:vAlign w:val="center"/>
          </w:tcPr>
          <w:p w14:paraId="7F25C0A8" w14:textId="77777777" w:rsidR="00207B33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Objava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donesenih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Službenom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glasniku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Garešnica</w:t>
            </w:r>
          </w:p>
        </w:tc>
        <w:tc>
          <w:tcPr>
            <w:tcW w:w="1388" w:type="dxa"/>
            <w:vAlign w:val="center"/>
          </w:tcPr>
          <w:p w14:paraId="665CF6D3" w14:textId="6AE1AC1B" w:rsidR="00207B33" w:rsidRDefault="00D7658F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9B5EC8">
              <w:rPr>
                <w:rFonts w:ascii="Arial" w:hAnsi="Arial" w:cs="Arial"/>
                <w:sz w:val="20"/>
                <w:szCs w:val="20"/>
              </w:rPr>
              <w:t>2</w:t>
            </w:r>
            <w:r w:rsidR="006E2346">
              <w:rPr>
                <w:rFonts w:ascii="Arial" w:hAnsi="Arial" w:cs="Arial"/>
                <w:sz w:val="20"/>
                <w:szCs w:val="20"/>
              </w:rPr>
              <w:t>1</w:t>
            </w:r>
            <w:r w:rsidR="0004708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047084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</w:tr>
      <w:tr w:rsidR="00047084" w:rsidRPr="00424AD6" w14:paraId="0E9949C9" w14:textId="77777777" w:rsidTr="00047084">
        <w:tc>
          <w:tcPr>
            <w:tcW w:w="675" w:type="dxa"/>
            <w:vAlign w:val="center"/>
          </w:tcPr>
          <w:p w14:paraId="1EEBEEDC" w14:textId="77777777" w:rsidR="00047084" w:rsidRDefault="00047084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52" w:type="dxa"/>
            <w:vAlign w:val="center"/>
          </w:tcPr>
          <w:p w14:paraId="5C37419E" w14:textId="77777777" w:rsidR="00047084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Upravni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odjel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financije</w:t>
            </w:r>
            <w:proofErr w:type="spellEnd"/>
          </w:p>
        </w:tc>
        <w:tc>
          <w:tcPr>
            <w:tcW w:w="4961" w:type="dxa"/>
            <w:vAlign w:val="center"/>
          </w:tcPr>
          <w:p w14:paraId="4EDD201E" w14:textId="77777777" w:rsidR="00047084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Sastavlja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Vodič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građane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objavljuje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službenim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internetskim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stranicama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Garešnica</w:t>
            </w:r>
          </w:p>
        </w:tc>
        <w:tc>
          <w:tcPr>
            <w:tcW w:w="1388" w:type="dxa"/>
            <w:vAlign w:val="center"/>
          </w:tcPr>
          <w:p w14:paraId="1425F0F3" w14:textId="501F1045" w:rsidR="00047084" w:rsidRDefault="00D7658F" w:rsidP="00424AD6">
            <w:pPr>
              <w:pStyle w:val="Obini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9B5EC8">
              <w:rPr>
                <w:rFonts w:ascii="Arial" w:hAnsi="Arial" w:cs="Arial"/>
                <w:sz w:val="20"/>
                <w:szCs w:val="20"/>
              </w:rPr>
              <w:t>2</w:t>
            </w:r>
            <w:r w:rsidR="006E2346">
              <w:rPr>
                <w:rFonts w:ascii="Arial" w:hAnsi="Arial" w:cs="Arial"/>
                <w:sz w:val="20"/>
                <w:szCs w:val="20"/>
              </w:rPr>
              <w:t>1</w:t>
            </w:r>
            <w:r w:rsidR="0004708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047084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</w:tr>
    </w:tbl>
    <w:p w14:paraId="6E052A34" w14:textId="77777777" w:rsidR="009B5EC8" w:rsidRDefault="009B5EC8" w:rsidP="00653528">
      <w:pPr>
        <w:pStyle w:val="Obinitekst"/>
        <w:jc w:val="both"/>
        <w:rPr>
          <w:rFonts w:ascii="Arial" w:hAnsi="Arial" w:cs="Arial"/>
          <w:b/>
          <w:sz w:val="24"/>
          <w:szCs w:val="24"/>
        </w:rPr>
      </w:pPr>
    </w:p>
    <w:p w14:paraId="1E0FA085" w14:textId="4737307E" w:rsidR="00653528" w:rsidRDefault="00653528" w:rsidP="00653528">
      <w:pPr>
        <w:pStyle w:val="Obinitekst"/>
        <w:jc w:val="both"/>
        <w:rPr>
          <w:rFonts w:ascii="Arial" w:hAnsi="Arial" w:cs="Arial"/>
          <w:b/>
          <w:sz w:val="24"/>
          <w:szCs w:val="24"/>
        </w:rPr>
      </w:pPr>
    </w:p>
    <w:p w14:paraId="2B4C30C9" w14:textId="77777777" w:rsidR="006E2346" w:rsidRDefault="006E2346" w:rsidP="00653528">
      <w:pPr>
        <w:pStyle w:val="Obinitekst"/>
        <w:jc w:val="both"/>
        <w:rPr>
          <w:rFonts w:ascii="Arial" w:hAnsi="Arial" w:cs="Arial"/>
          <w:sz w:val="22"/>
          <w:szCs w:val="22"/>
        </w:rPr>
      </w:pPr>
    </w:p>
    <w:p w14:paraId="588DC6E3" w14:textId="77777777" w:rsidR="00653528" w:rsidRDefault="00653528" w:rsidP="00653528">
      <w:pPr>
        <w:pStyle w:val="Obini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mrežnim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stranicama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Ministarstva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015D89">
          <w:rPr>
            <w:rStyle w:val="Hiperveza"/>
            <w:rFonts w:ascii="Arial" w:hAnsi="Arial" w:cs="Arial"/>
            <w:sz w:val="22"/>
            <w:szCs w:val="22"/>
          </w:rPr>
          <w:t>www.mfin.hr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Proračun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Lokalni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proračuni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nalaze</w:t>
      </w:r>
      <w:proofErr w:type="spellEnd"/>
      <w:r>
        <w:rPr>
          <w:rFonts w:ascii="Arial" w:hAnsi="Arial" w:cs="Arial"/>
          <w:sz w:val="22"/>
          <w:szCs w:val="22"/>
        </w:rPr>
        <w:t xml:space="preserve"> se:</w:t>
      </w:r>
    </w:p>
    <w:p w14:paraId="5213D19F" w14:textId="12439EFE" w:rsidR="00653528" w:rsidRDefault="00653528" w:rsidP="00653528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Upute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izr</w:t>
      </w:r>
      <w:r w:rsidR="00802DBF">
        <w:rPr>
          <w:rFonts w:ascii="Arial" w:hAnsi="Arial" w:cs="Arial"/>
          <w:sz w:val="22"/>
          <w:szCs w:val="22"/>
        </w:rPr>
        <w:t>adu</w:t>
      </w:r>
      <w:proofErr w:type="spellEnd"/>
      <w:r w:rsidR="00802D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2DBF">
        <w:rPr>
          <w:rFonts w:ascii="Arial" w:hAnsi="Arial" w:cs="Arial"/>
          <w:sz w:val="22"/>
          <w:szCs w:val="22"/>
        </w:rPr>
        <w:t>proračuna</w:t>
      </w:r>
      <w:proofErr w:type="spellEnd"/>
      <w:r w:rsidR="00802D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2DBF">
        <w:rPr>
          <w:rFonts w:ascii="Arial" w:hAnsi="Arial" w:cs="Arial"/>
          <w:sz w:val="22"/>
          <w:szCs w:val="22"/>
        </w:rPr>
        <w:t>jedinica</w:t>
      </w:r>
      <w:proofErr w:type="spellEnd"/>
      <w:r w:rsidR="00802D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2DBF">
        <w:rPr>
          <w:rFonts w:ascii="Arial" w:hAnsi="Arial" w:cs="Arial"/>
          <w:sz w:val="22"/>
          <w:szCs w:val="22"/>
        </w:rPr>
        <w:t>lokalne</w:t>
      </w:r>
      <w:proofErr w:type="spellEnd"/>
      <w:r w:rsidR="00802D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2DBF"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područne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regional</w:t>
      </w:r>
      <w:r w:rsidR="00972B28">
        <w:rPr>
          <w:rFonts w:ascii="Arial" w:hAnsi="Arial" w:cs="Arial"/>
          <w:sz w:val="22"/>
          <w:szCs w:val="22"/>
        </w:rPr>
        <w:t>ne</w:t>
      </w:r>
      <w:proofErr w:type="spellEnd"/>
      <w:r w:rsidR="00972B28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972B28">
        <w:rPr>
          <w:rFonts w:ascii="Arial" w:hAnsi="Arial" w:cs="Arial"/>
          <w:sz w:val="22"/>
          <w:szCs w:val="22"/>
        </w:rPr>
        <w:t>samouprave</w:t>
      </w:r>
      <w:proofErr w:type="spellEnd"/>
      <w:r w:rsidR="00972B2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72B28">
        <w:rPr>
          <w:rFonts w:ascii="Arial" w:hAnsi="Arial" w:cs="Arial"/>
          <w:sz w:val="22"/>
          <w:szCs w:val="22"/>
        </w:rPr>
        <w:t>razdoblje</w:t>
      </w:r>
      <w:proofErr w:type="spellEnd"/>
      <w:r w:rsidR="00972B28">
        <w:rPr>
          <w:rFonts w:ascii="Arial" w:hAnsi="Arial" w:cs="Arial"/>
          <w:sz w:val="22"/>
          <w:szCs w:val="22"/>
        </w:rPr>
        <w:t xml:space="preserve"> 20</w:t>
      </w:r>
      <w:r w:rsidR="009B5EC8">
        <w:rPr>
          <w:rFonts w:ascii="Arial" w:hAnsi="Arial" w:cs="Arial"/>
          <w:sz w:val="22"/>
          <w:szCs w:val="22"/>
        </w:rPr>
        <w:t>2</w:t>
      </w:r>
      <w:r w:rsidR="006E2346">
        <w:rPr>
          <w:rFonts w:ascii="Arial" w:hAnsi="Arial" w:cs="Arial"/>
          <w:sz w:val="22"/>
          <w:szCs w:val="22"/>
        </w:rPr>
        <w:t>2</w:t>
      </w:r>
      <w:r w:rsidR="00972B28">
        <w:rPr>
          <w:rFonts w:ascii="Arial" w:hAnsi="Arial" w:cs="Arial"/>
          <w:sz w:val="22"/>
          <w:szCs w:val="22"/>
        </w:rPr>
        <w:t>. – 20</w:t>
      </w:r>
      <w:r w:rsidR="009B5EC8">
        <w:rPr>
          <w:rFonts w:ascii="Arial" w:hAnsi="Arial" w:cs="Arial"/>
          <w:sz w:val="22"/>
          <w:szCs w:val="22"/>
        </w:rPr>
        <w:t>2</w:t>
      </w:r>
      <w:r w:rsidR="006E234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.,</w:t>
      </w:r>
    </w:p>
    <w:p w14:paraId="5D5DB4D3" w14:textId="77777777" w:rsidR="00653528" w:rsidRPr="008E5DD2" w:rsidRDefault="00653528" w:rsidP="008E5DD2">
      <w:pPr>
        <w:pStyle w:val="Obinitek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Prilog</w:t>
      </w:r>
      <w:proofErr w:type="spellEnd"/>
      <w:r>
        <w:rPr>
          <w:rFonts w:ascii="Arial" w:hAnsi="Arial" w:cs="Arial"/>
          <w:sz w:val="22"/>
          <w:szCs w:val="22"/>
        </w:rPr>
        <w:t xml:space="preserve">: Model </w:t>
      </w:r>
      <w:proofErr w:type="spellStart"/>
      <w:r>
        <w:rPr>
          <w:rFonts w:ascii="Arial" w:hAnsi="Arial" w:cs="Arial"/>
          <w:sz w:val="22"/>
          <w:szCs w:val="22"/>
        </w:rPr>
        <w:t>prijedloga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financijskog</w:t>
      </w:r>
      <w:proofErr w:type="spellEnd"/>
      <w:r>
        <w:rPr>
          <w:rFonts w:ascii="Arial" w:hAnsi="Arial" w:cs="Arial"/>
          <w:sz w:val="22"/>
          <w:szCs w:val="22"/>
        </w:rPr>
        <w:t xml:space="preserve"> plana </w:t>
      </w:r>
      <w:proofErr w:type="spellStart"/>
      <w:r>
        <w:rPr>
          <w:rFonts w:ascii="Arial" w:hAnsi="Arial" w:cs="Arial"/>
          <w:sz w:val="22"/>
          <w:szCs w:val="22"/>
        </w:rPr>
        <w:t>proračunskog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korisnika</w:t>
      </w:r>
      <w:proofErr w:type="spellEnd"/>
    </w:p>
    <w:sectPr w:rsidR="00653528" w:rsidRPr="008E5DD2" w:rsidSect="00037A23">
      <w:footerReference w:type="default" r:id="rId11"/>
      <w:pgSz w:w="11906" w:h="16838" w:code="9"/>
      <w:pgMar w:top="993" w:right="1133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5504" w14:textId="77777777" w:rsidR="000154AB" w:rsidRDefault="000154AB" w:rsidP="00D929B2">
      <w:r>
        <w:separator/>
      </w:r>
    </w:p>
  </w:endnote>
  <w:endnote w:type="continuationSeparator" w:id="0">
    <w:p w14:paraId="060C0C32" w14:textId="77777777" w:rsidR="000154AB" w:rsidRDefault="000154AB" w:rsidP="00D9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796420"/>
      <w:docPartObj>
        <w:docPartGallery w:val="Page Numbers (Bottom of Page)"/>
        <w:docPartUnique/>
      </w:docPartObj>
    </w:sdtPr>
    <w:sdtEndPr/>
    <w:sdtContent>
      <w:p w14:paraId="77590CC2" w14:textId="77777777" w:rsidR="007B543E" w:rsidRDefault="007B543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24A9">
          <w:rPr>
            <w:noProof/>
            <w:lang w:val="hr-HR"/>
          </w:rPr>
          <w:t>12</w:t>
        </w:r>
        <w:r>
          <w:fldChar w:fldCharType="end"/>
        </w:r>
      </w:p>
    </w:sdtContent>
  </w:sdt>
  <w:p w14:paraId="2E4B5594" w14:textId="77777777" w:rsidR="007B543E" w:rsidRDefault="007B54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DF96" w14:textId="77777777" w:rsidR="000154AB" w:rsidRDefault="000154AB" w:rsidP="00D929B2">
      <w:r>
        <w:separator/>
      </w:r>
    </w:p>
  </w:footnote>
  <w:footnote w:type="continuationSeparator" w:id="0">
    <w:p w14:paraId="09E02BA0" w14:textId="77777777" w:rsidR="000154AB" w:rsidRDefault="000154AB" w:rsidP="00D9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D36"/>
    <w:multiLevelType w:val="hybridMultilevel"/>
    <w:tmpl w:val="05DE98D2"/>
    <w:lvl w:ilvl="0" w:tplc="A4FE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A54"/>
    <w:multiLevelType w:val="hybridMultilevel"/>
    <w:tmpl w:val="98AA4CB0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1B5B23"/>
    <w:multiLevelType w:val="hybridMultilevel"/>
    <w:tmpl w:val="3E2A3FE6"/>
    <w:lvl w:ilvl="0" w:tplc="B718943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  <w:lang w:val="bs" w:eastAsia="bs" w:bidi="bs"/>
      </w:rPr>
    </w:lvl>
    <w:lvl w:ilvl="1" w:tplc="3E3C00E0"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bs" w:eastAsia="bs" w:bidi="bs"/>
      </w:rPr>
    </w:lvl>
    <w:lvl w:ilvl="2" w:tplc="EE3C35C8">
      <w:numFmt w:val="bullet"/>
      <w:lvlText w:val="•"/>
      <w:lvlJc w:val="left"/>
      <w:pPr>
        <w:ind w:left="2105" w:hanging="360"/>
      </w:pPr>
      <w:rPr>
        <w:rFonts w:hint="default"/>
        <w:lang w:val="bs" w:eastAsia="bs" w:bidi="bs"/>
      </w:rPr>
    </w:lvl>
    <w:lvl w:ilvl="3" w:tplc="CA26A452">
      <w:numFmt w:val="bullet"/>
      <w:lvlText w:val="•"/>
      <w:lvlJc w:val="left"/>
      <w:pPr>
        <w:ind w:left="3010" w:hanging="360"/>
      </w:pPr>
      <w:rPr>
        <w:rFonts w:hint="default"/>
        <w:lang w:val="bs" w:eastAsia="bs" w:bidi="bs"/>
      </w:rPr>
    </w:lvl>
    <w:lvl w:ilvl="4" w:tplc="8BCCAE84">
      <w:numFmt w:val="bullet"/>
      <w:lvlText w:val="•"/>
      <w:lvlJc w:val="left"/>
      <w:pPr>
        <w:ind w:left="3915" w:hanging="360"/>
      </w:pPr>
      <w:rPr>
        <w:rFonts w:hint="default"/>
        <w:lang w:val="bs" w:eastAsia="bs" w:bidi="bs"/>
      </w:rPr>
    </w:lvl>
    <w:lvl w:ilvl="5" w:tplc="9118B9DC">
      <w:numFmt w:val="bullet"/>
      <w:lvlText w:val="•"/>
      <w:lvlJc w:val="left"/>
      <w:pPr>
        <w:ind w:left="4820" w:hanging="360"/>
      </w:pPr>
      <w:rPr>
        <w:rFonts w:hint="default"/>
        <w:lang w:val="bs" w:eastAsia="bs" w:bidi="bs"/>
      </w:rPr>
    </w:lvl>
    <w:lvl w:ilvl="6" w:tplc="DCEAAF28">
      <w:numFmt w:val="bullet"/>
      <w:lvlText w:val="•"/>
      <w:lvlJc w:val="left"/>
      <w:pPr>
        <w:ind w:left="5725" w:hanging="360"/>
      </w:pPr>
      <w:rPr>
        <w:rFonts w:hint="default"/>
        <w:lang w:val="bs" w:eastAsia="bs" w:bidi="bs"/>
      </w:rPr>
    </w:lvl>
    <w:lvl w:ilvl="7" w:tplc="08562246">
      <w:numFmt w:val="bullet"/>
      <w:lvlText w:val="•"/>
      <w:lvlJc w:val="left"/>
      <w:pPr>
        <w:ind w:left="6630" w:hanging="360"/>
      </w:pPr>
      <w:rPr>
        <w:rFonts w:hint="default"/>
        <w:lang w:val="bs" w:eastAsia="bs" w:bidi="bs"/>
      </w:rPr>
    </w:lvl>
    <w:lvl w:ilvl="8" w:tplc="419C59D4">
      <w:numFmt w:val="bullet"/>
      <w:lvlText w:val="•"/>
      <w:lvlJc w:val="left"/>
      <w:pPr>
        <w:ind w:left="7536" w:hanging="360"/>
      </w:pPr>
      <w:rPr>
        <w:rFonts w:hint="default"/>
        <w:lang w:val="bs" w:eastAsia="bs" w:bidi="bs"/>
      </w:rPr>
    </w:lvl>
  </w:abstractNum>
  <w:abstractNum w:abstractNumId="3" w15:restartNumberingAfterBreak="0">
    <w:nsid w:val="0A1F7883"/>
    <w:multiLevelType w:val="hybridMultilevel"/>
    <w:tmpl w:val="2FD0AE9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721BB0"/>
    <w:multiLevelType w:val="hybridMultilevel"/>
    <w:tmpl w:val="F2740C56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2874F3"/>
    <w:multiLevelType w:val="hybridMultilevel"/>
    <w:tmpl w:val="A6687D62"/>
    <w:lvl w:ilvl="0" w:tplc="041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  <w:w w:val="100"/>
        <w:sz w:val="24"/>
        <w:szCs w:val="24"/>
        <w:lang w:val="bs" w:eastAsia="bs" w:bidi="bs"/>
      </w:rPr>
    </w:lvl>
    <w:lvl w:ilvl="1" w:tplc="3E3C00E0"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bs" w:eastAsia="bs" w:bidi="bs"/>
      </w:rPr>
    </w:lvl>
    <w:lvl w:ilvl="2" w:tplc="EE3C35C8">
      <w:numFmt w:val="bullet"/>
      <w:lvlText w:val="•"/>
      <w:lvlJc w:val="left"/>
      <w:pPr>
        <w:ind w:left="2105" w:hanging="360"/>
      </w:pPr>
      <w:rPr>
        <w:rFonts w:hint="default"/>
        <w:lang w:val="bs" w:eastAsia="bs" w:bidi="bs"/>
      </w:rPr>
    </w:lvl>
    <w:lvl w:ilvl="3" w:tplc="CA26A452">
      <w:numFmt w:val="bullet"/>
      <w:lvlText w:val="•"/>
      <w:lvlJc w:val="left"/>
      <w:pPr>
        <w:ind w:left="3010" w:hanging="360"/>
      </w:pPr>
      <w:rPr>
        <w:rFonts w:hint="default"/>
        <w:lang w:val="bs" w:eastAsia="bs" w:bidi="bs"/>
      </w:rPr>
    </w:lvl>
    <w:lvl w:ilvl="4" w:tplc="8BCCAE84">
      <w:numFmt w:val="bullet"/>
      <w:lvlText w:val="•"/>
      <w:lvlJc w:val="left"/>
      <w:pPr>
        <w:ind w:left="3915" w:hanging="360"/>
      </w:pPr>
      <w:rPr>
        <w:rFonts w:hint="default"/>
        <w:lang w:val="bs" w:eastAsia="bs" w:bidi="bs"/>
      </w:rPr>
    </w:lvl>
    <w:lvl w:ilvl="5" w:tplc="9118B9DC">
      <w:numFmt w:val="bullet"/>
      <w:lvlText w:val="•"/>
      <w:lvlJc w:val="left"/>
      <w:pPr>
        <w:ind w:left="4820" w:hanging="360"/>
      </w:pPr>
      <w:rPr>
        <w:rFonts w:hint="default"/>
        <w:lang w:val="bs" w:eastAsia="bs" w:bidi="bs"/>
      </w:rPr>
    </w:lvl>
    <w:lvl w:ilvl="6" w:tplc="DCEAAF28">
      <w:numFmt w:val="bullet"/>
      <w:lvlText w:val="•"/>
      <w:lvlJc w:val="left"/>
      <w:pPr>
        <w:ind w:left="5725" w:hanging="360"/>
      </w:pPr>
      <w:rPr>
        <w:rFonts w:hint="default"/>
        <w:lang w:val="bs" w:eastAsia="bs" w:bidi="bs"/>
      </w:rPr>
    </w:lvl>
    <w:lvl w:ilvl="7" w:tplc="08562246">
      <w:numFmt w:val="bullet"/>
      <w:lvlText w:val="•"/>
      <w:lvlJc w:val="left"/>
      <w:pPr>
        <w:ind w:left="6630" w:hanging="360"/>
      </w:pPr>
      <w:rPr>
        <w:rFonts w:hint="default"/>
        <w:lang w:val="bs" w:eastAsia="bs" w:bidi="bs"/>
      </w:rPr>
    </w:lvl>
    <w:lvl w:ilvl="8" w:tplc="419C59D4">
      <w:numFmt w:val="bullet"/>
      <w:lvlText w:val="•"/>
      <w:lvlJc w:val="left"/>
      <w:pPr>
        <w:ind w:left="7536" w:hanging="360"/>
      </w:pPr>
      <w:rPr>
        <w:rFonts w:hint="default"/>
        <w:lang w:val="bs" w:eastAsia="bs" w:bidi="bs"/>
      </w:rPr>
    </w:lvl>
  </w:abstractNum>
  <w:abstractNum w:abstractNumId="6" w15:restartNumberingAfterBreak="0">
    <w:nsid w:val="11B17311"/>
    <w:multiLevelType w:val="multilevel"/>
    <w:tmpl w:val="3FE82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6673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B218B3"/>
    <w:multiLevelType w:val="hybridMultilevel"/>
    <w:tmpl w:val="98C2B21E"/>
    <w:lvl w:ilvl="0" w:tplc="9F44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00AB"/>
    <w:multiLevelType w:val="hybridMultilevel"/>
    <w:tmpl w:val="A9883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A3FE4"/>
    <w:multiLevelType w:val="hybridMultilevel"/>
    <w:tmpl w:val="57501EC4"/>
    <w:lvl w:ilvl="0" w:tplc="A6661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D69E4"/>
    <w:multiLevelType w:val="hybridMultilevel"/>
    <w:tmpl w:val="C8ACE926"/>
    <w:lvl w:ilvl="0" w:tplc="9F44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D48F8"/>
    <w:multiLevelType w:val="hybridMultilevel"/>
    <w:tmpl w:val="7E46A016"/>
    <w:lvl w:ilvl="0" w:tplc="827E821A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D5B0849"/>
    <w:multiLevelType w:val="hybridMultilevel"/>
    <w:tmpl w:val="10FAA81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D7BEA"/>
    <w:multiLevelType w:val="hybridMultilevel"/>
    <w:tmpl w:val="2466A5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5977F5"/>
    <w:multiLevelType w:val="multilevel"/>
    <w:tmpl w:val="80B29324"/>
    <w:lvl w:ilvl="0">
      <w:start w:val="6"/>
      <w:numFmt w:val="decimal"/>
      <w:lvlText w:val="%1"/>
      <w:lvlJc w:val="left"/>
      <w:pPr>
        <w:ind w:left="1522" w:hanging="365"/>
      </w:pPr>
      <w:rPr>
        <w:rFonts w:hint="default"/>
        <w:lang w:val="bs" w:eastAsia="en-US" w:bidi="ar-SA"/>
      </w:rPr>
    </w:lvl>
    <w:lvl w:ilvl="1">
      <w:start w:val="5"/>
      <w:numFmt w:val="decimal"/>
      <w:lvlText w:val="%1.%2."/>
      <w:lvlJc w:val="left"/>
      <w:pPr>
        <w:ind w:left="1522" w:hanging="365"/>
      </w:pPr>
      <w:rPr>
        <w:rFonts w:ascii="Calibri" w:eastAsia="Calibri" w:hAnsi="Calibri" w:cs="Calibri" w:hint="default"/>
        <w:spacing w:val="-1"/>
        <w:w w:val="82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648" w:hanging="356"/>
      </w:pPr>
      <w:rPr>
        <w:rFonts w:ascii="Symbol" w:eastAsia="Symbol" w:hAnsi="Symbol" w:cs="Symbol" w:hint="default"/>
        <w:w w:val="100"/>
        <w:sz w:val="23"/>
        <w:szCs w:val="23"/>
        <w:lang w:val="bs" w:eastAsia="en-US" w:bidi="ar-SA"/>
      </w:rPr>
    </w:lvl>
    <w:lvl w:ilvl="3">
      <w:numFmt w:val="bullet"/>
      <w:lvlText w:val="•"/>
      <w:lvlJc w:val="left"/>
      <w:pPr>
        <w:ind w:left="3610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595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580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565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550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36" w:hanging="356"/>
      </w:pPr>
      <w:rPr>
        <w:rFonts w:hint="default"/>
        <w:lang w:val="bs" w:eastAsia="en-US" w:bidi="ar-SA"/>
      </w:rPr>
    </w:lvl>
  </w:abstractNum>
  <w:abstractNum w:abstractNumId="15" w15:restartNumberingAfterBreak="0">
    <w:nsid w:val="486C11E2"/>
    <w:multiLevelType w:val="hybridMultilevel"/>
    <w:tmpl w:val="8C541980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3623E"/>
    <w:multiLevelType w:val="hybridMultilevel"/>
    <w:tmpl w:val="5D086A4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CCC533A"/>
    <w:multiLevelType w:val="hybridMultilevel"/>
    <w:tmpl w:val="42DC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44FA8"/>
    <w:multiLevelType w:val="hybridMultilevel"/>
    <w:tmpl w:val="0074BA72"/>
    <w:lvl w:ilvl="0" w:tplc="E6388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03E4B"/>
    <w:multiLevelType w:val="hybridMultilevel"/>
    <w:tmpl w:val="F4CA8BBC"/>
    <w:lvl w:ilvl="0" w:tplc="DE8C1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818EB"/>
    <w:multiLevelType w:val="hybridMultilevel"/>
    <w:tmpl w:val="1A884C38"/>
    <w:lvl w:ilvl="0" w:tplc="258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822E4"/>
    <w:multiLevelType w:val="hybridMultilevel"/>
    <w:tmpl w:val="DA5EE4EA"/>
    <w:lvl w:ilvl="0" w:tplc="72886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195CE8"/>
    <w:multiLevelType w:val="hybridMultilevel"/>
    <w:tmpl w:val="F300DD4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D3A52"/>
    <w:multiLevelType w:val="hybridMultilevel"/>
    <w:tmpl w:val="68BECF68"/>
    <w:lvl w:ilvl="0" w:tplc="9F446D9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4583">
    <w:abstractNumId w:val="9"/>
  </w:num>
  <w:num w:numId="2" w16cid:durableId="244531351">
    <w:abstractNumId w:val="0"/>
  </w:num>
  <w:num w:numId="3" w16cid:durableId="578977500">
    <w:abstractNumId w:val="19"/>
  </w:num>
  <w:num w:numId="4" w16cid:durableId="645475791">
    <w:abstractNumId w:val="20"/>
  </w:num>
  <w:num w:numId="5" w16cid:durableId="434833784">
    <w:abstractNumId w:val="18"/>
  </w:num>
  <w:num w:numId="6" w16cid:durableId="789469131">
    <w:abstractNumId w:val="17"/>
  </w:num>
  <w:num w:numId="7" w16cid:durableId="554976325">
    <w:abstractNumId w:val="10"/>
  </w:num>
  <w:num w:numId="8" w16cid:durableId="393434017">
    <w:abstractNumId w:val="7"/>
  </w:num>
  <w:num w:numId="9" w16cid:durableId="1624968844">
    <w:abstractNumId w:val="3"/>
  </w:num>
  <w:num w:numId="10" w16cid:durableId="515383670">
    <w:abstractNumId w:val="4"/>
  </w:num>
  <w:num w:numId="11" w16cid:durableId="546337790">
    <w:abstractNumId w:val="1"/>
  </w:num>
  <w:num w:numId="12" w16cid:durableId="651905456">
    <w:abstractNumId w:val="13"/>
  </w:num>
  <w:num w:numId="13" w16cid:durableId="1408041479">
    <w:abstractNumId w:val="11"/>
  </w:num>
  <w:num w:numId="14" w16cid:durableId="669715730">
    <w:abstractNumId w:val="15"/>
  </w:num>
  <w:num w:numId="15" w16cid:durableId="777532493">
    <w:abstractNumId w:val="8"/>
  </w:num>
  <w:num w:numId="16" w16cid:durableId="1031685398">
    <w:abstractNumId w:val="16"/>
  </w:num>
  <w:num w:numId="17" w16cid:durableId="675956704">
    <w:abstractNumId w:val="23"/>
  </w:num>
  <w:num w:numId="18" w16cid:durableId="1642543206">
    <w:abstractNumId w:val="22"/>
  </w:num>
  <w:num w:numId="19" w16cid:durableId="2004623974">
    <w:abstractNumId w:val="12"/>
  </w:num>
  <w:num w:numId="20" w16cid:durableId="1831406222">
    <w:abstractNumId w:val="21"/>
  </w:num>
  <w:num w:numId="21" w16cid:durableId="391855432">
    <w:abstractNumId w:val="6"/>
  </w:num>
  <w:num w:numId="22" w16cid:durableId="91358960">
    <w:abstractNumId w:val="14"/>
  </w:num>
  <w:num w:numId="23" w16cid:durableId="1377048733">
    <w:abstractNumId w:val="2"/>
  </w:num>
  <w:num w:numId="24" w16cid:durableId="1502964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C6"/>
    <w:rsid w:val="0000726C"/>
    <w:rsid w:val="000154AB"/>
    <w:rsid w:val="00031667"/>
    <w:rsid w:val="00034BB0"/>
    <w:rsid w:val="00037A23"/>
    <w:rsid w:val="00047084"/>
    <w:rsid w:val="0005658C"/>
    <w:rsid w:val="000C2382"/>
    <w:rsid w:val="000C5A56"/>
    <w:rsid w:val="000D2466"/>
    <w:rsid w:val="000D25E0"/>
    <w:rsid w:val="00105BAF"/>
    <w:rsid w:val="001103DC"/>
    <w:rsid w:val="00111289"/>
    <w:rsid w:val="00115C31"/>
    <w:rsid w:val="0012430C"/>
    <w:rsid w:val="00127FA9"/>
    <w:rsid w:val="00141F15"/>
    <w:rsid w:val="00177F1C"/>
    <w:rsid w:val="0018390E"/>
    <w:rsid w:val="001A5179"/>
    <w:rsid w:val="001C0DF7"/>
    <w:rsid w:val="001C6810"/>
    <w:rsid w:val="00207B33"/>
    <w:rsid w:val="00233529"/>
    <w:rsid w:val="002615BF"/>
    <w:rsid w:val="00292B29"/>
    <w:rsid w:val="00293011"/>
    <w:rsid w:val="00296BC9"/>
    <w:rsid w:val="002A1ABD"/>
    <w:rsid w:val="002A79B3"/>
    <w:rsid w:val="002B452E"/>
    <w:rsid w:val="002C79FB"/>
    <w:rsid w:val="002D33D6"/>
    <w:rsid w:val="002E34E1"/>
    <w:rsid w:val="0030337B"/>
    <w:rsid w:val="00310D09"/>
    <w:rsid w:val="00313874"/>
    <w:rsid w:val="003325A9"/>
    <w:rsid w:val="003434F7"/>
    <w:rsid w:val="00364A76"/>
    <w:rsid w:val="003858DA"/>
    <w:rsid w:val="00395557"/>
    <w:rsid w:val="00397BDA"/>
    <w:rsid w:val="003A24A9"/>
    <w:rsid w:val="003A6BEB"/>
    <w:rsid w:val="003C4070"/>
    <w:rsid w:val="003C6062"/>
    <w:rsid w:val="003D7697"/>
    <w:rsid w:val="003E5426"/>
    <w:rsid w:val="00422DFD"/>
    <w:rsid w:val="00424AD6"/>
    <w:rsid w:val="0043450B"/>
    <w:rsid w:val="00435FAE"/>
    <w:rsid w:val="00444FD7"/>
    <w:rsid w:val="00464938"/>
    <w:rsid w:val="00465750"/>
    <w:rsid w:val="004720AD"/>
    <w:rsid w:val="0047329C"/>
    <w:rsid w:val="00473678"/>
    <w:rsid w:val="00477178"/>
    <w:rsid w:val="004C473C"/>
    <w:rsid w:val="004E399B"/>
    <w:rsid w:val="004E4ED3"/>
    <w:rsid w:val="004F4742"/>
    <w:rsid w:val="00503109"/>
    <w:rsid w:val="0050660F"/>
    <w:rsid w:val="0052108C"/>
    <w:rsid w:val="005247DB"/>
    <w:rsid w:val="0052602C"/>
    <w:rsid w:val="005279C7"/>
    <w:rsid w:val="00534E3D"/>
    <w:rsid w:val="005404CE"/>
    <w:rsid w:val="00542244"/>
    <w:rsid w:val="0054315F"/>
    <w:rsid w:val="00551269"/>
    <w:rsid w:val="005565A0"/>
    <w:rsid w:val="005647B0"/>
    <w:rsid w:val="0057782D"/>
    <w:rsid w:val="00584282"/>
    <w:rsid w:val="005912E6"/>
    <w:rsid w:val="0059402A"/>
    <w:rsid w:val="005B13C9"/>
    <w:rsid w:val="005B1CD8"/>
    <w:rsid w:val="005D2174"/>
    <w:rsid w:val="005E5978"/>
    <w:rsid w:val="00601120"/>
    <w:rsid w:val="00626DB5"/>
    <w:rsid w:val="00640256"/>
    <w:rsid w:val="00641322"/>
    <w:rsid w:val="00653528"/>
    <w:rsid w:val="00655D62"/>
    <w:rsid w:val="006657BC"/>
    <w:rsid w:val="006800A3"/>
    <w:rsid w:val="006913FA"/>
    <w:rsid w:val="0069225C"/>
    <w:rsid w:val="00697896"/>
    <w:rsid w:val="006B22D6"/>
    <w:rsid w:val="006D0705"/>
    <w:rsid w:val="006D3C72"/>
    <w:rsid w:val="006E2346"/>
    <w:rsid w:val="007130AA"/>
    <w:rsid w:val="00725260"/>
    <w:rsid w:val="007268A1"/>
    <w:rsid w:val="007423B3"/>
    <w:rsid w:val="00743989"/>
    <w:rsid w:val="00780CC6"/>
    <w:rsid w:val="007A2198"/>
    <w:rsid w:val="007B543E"/>
    <w:rsid w:val="007B5BC8"/>
    <w:rsid w:val="007E098D"/>
    <w:rsid w:val="007F2D7A"/>
    <w:rsid w:val="00802DBF"/>
    <w:rsid w:val="00803E59"/>
    <w:rsid w:val="00805C13"/>
    <w:rsid w:val="00810814"/>
    <w:rsid w:val="0081779E"/>
    <w:rsid w:val="008301BD"/>
    <w:rsid w:val="0083059C"/>
    <w:rsid w:val="00834F70"/>
    <w:rsid w:val="0084683F"/>
    <w:rsid w:val="00851AB9"/>
    <w:rsid w:val="0085762A"/>
    <w:rsid w:val="00861E53"/>
    <w:rsid w:val="00864950"/>
    <w:rsid w:val="008956D7"/>
    <w:rsid w:val="008B47DB"/>
    <w:rsid w:val="008E0AE4"/>
    <w:rsid w:val="008E139B"/>
    <w:rsid w:val="008E5DD2"/>
    <w:rsid w:val="00930BC6"/>
    <w:rsid w:val="00943ACC"/>
    <w:rsid w:val="00956782"/>
    <w:rsid w:val="00963523"/>
    <w:rsid w:val="00972B28"/>
    <w:rsid w:val="00982BCF"/>
    <w:rsid w:val="00987C43"/>
    <w:rsid w:val="00997B70"/>
    <w:rsid w:val="009A1040"/>
    <w:rsid w:val="009A5189"/>
    <w:rsid w:val="009B5EC8"/>
    <w:rsid w:val="009C3891"/>
    <w:rsid w:val="009E29DC"/>
    <w:rsid w:val="009E421A"/>
    <w:rsid w:val="009E6466"/>
    <w:rsid w:val="009F0872"/>
    <w:rsid w:val="009F2B49"/>
    <w:rsid w:val="009F7C3C"/>
    <w:rsid w:val="00A13F03"/>
    <w:rsid w:val="00A2273C"/>
    <w:rsid w:val="00A43840"/>
    <w:rsid w:val="00A52C89"/>
    <w:rsid w:val="00A61B1D"/>
    <w:rsid w:val="00A62769"/>
    <w:rsid w:val="00A815E3"/>
    <w:rsid w:val="00A83499"/>
    <w:rsid w:val="00AB2E9F"/>
    <w:rsid w:val="00AB45F8"/>
    <w:rsid w:val="00AB49A0"/>
    <w:rsid w:val="00AD72AE"/>
    <w:rsid w:val="00AD7DC7"/>
    <w:rsid w:val="00AE3F9D"/>
    <w:rsid w:val="00B051E3"/>
    <w:rsid w:val="00B15590"/>
    <w:rsid w:val="00B315B9"/>
    <w:rsid w:val="00B331F9"/>
    <w:rsid w:val="00B63530"/>
    <w:rsid w:val="00B64578"/>
    <w:rsid w:val="00B65C44"/>
    <w:rsid w:val="00B95C1A"/>
    <w:rsid w:val="00BB6DE0"/>
    <w:rsid w:val="00BC43AE"/>
    <w:rsid w:val="00BE2188"/>
    <w:rsid w:val="00BF3EF5"/>
    <w:rsid w:val="00C063E1"/>
    <w:rsid w:val="00C163F4"/>
    <w:rsid w:val="00C25617"/>
    <w:rsid w:val="00C31FEE"/>
    <w:rsid w:val="00C3338D"/>
    <w:rsid w:val="00C33653"/>
    <w:rsid w:val="00C33CB8"/>
    <w:rsid w:val="00C3548C"/>
    <w:rsid w:val="00C55179"/>
    <w:rsid w:val="00C563D1"/>
    <w:rsid w:val="00C613D0"/>
    <w:rsid w:val="00C63FAD"/>
    <w:rsid w:val="00C66BE7"/>
    <w:rsid w:val="00C80E14"/>
    <w:rsid w:val="00CA7FF2"/>
    <w:rsid w:val="00CC0A44"/>
    <w:rsid w:val="00CC7598"/>
    <w:rsid w:val="00CD732F"/>
    <w:rsid w:val="00CE44F3"/>
    <w:rsid w:val="00CE6D95"/>
    <w:rsid w:val="00CF108B"/>
    <w:rsid w:val="00CF2597"/>
    <w:rsid w:val="00D055AA"/>
    <w:rsid w:val="00D05F87"/>
    <w:rsid w:val="00D14F85"/>
    <w:rsid w:val="00D17670"/>
    <w:rsid w:val="00D26CF8"/>
    <w:rsid w:val="00D30457"/>
    <w:rsid w:val="00D3270B"/>
    <w:rsid w:val="00D37F81"/>
    <w:rsid w:val="00D71258"/>
    <w:rsid w:val="00D7658F"/>
    <w:rsid w:val="00D87B1E"/>
    <w:rsid w:val="00D90462"/>
    <w:rsid w:val="00D929B2"/>
    <w:rsid w:val="00DA40AF"/>
    <w:rsid w:val="00DB526F"/>
    <w:rsid w:val="00DB7632"/>
    <w:rsid w:val="00DC1647"/>
    <w:rsid w:val="00DC7ED8"/>
    <w:rsid w:val="00DF7F6E"/>
    <w:rsid w:val="00E10091"/>
    <w:rsid w:val="00E1671B"/>
    <w:rsid w:val="00E23D01"/>
    <w:rsid w:val="00E25716"/>
    <w:rsid w:val="00E61979"/>
    <w:rsid w:val="00E8408A"/>
    <w:rsid w:val="00EB1034"/>
    <w:rsid w:val="00F01CE1"/>
    <w:rsid w:val="00F03D26"/>
    <w:rsid w:val="00F22B46"/>
    <w:rsid w:val="00F24FC4"/>
    <w:rsid w:val="00F66940"/>
    <w:rsid w:val="00F90D0C"/>
    <w:rsid w:val="00FA3D36"/>
    <w:rsid w:val="00FD238E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D824"/>
  <w15:docId w15:val="{5089DA86-1625-413A-B2FE-C13244E0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1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unhideWhenUsed/>
    <w:qFormat/>
    <w:rsid w:val="009C3891"/>
    <w:pPr>
      <w:widowControl w:val="0"/>
      <w:autoSpaceDE w:val="0"/>
      <w:autoSpaceDN w:val="0"/>
      <w:ind w:left="116"/>
      <w:jc w:val="both"/>
      <w:outlineLvl w:val="3"/>
    </w:pPr>
    <w:rPr>
      <w:rFonts w:ascii="Calibri" w:eastAsia="Calibri" w:hAnsi="Calibri" w:cs="Calibri"/>
      <w:i/>
      <w:sz w:val="24"/>
      <w:szCs w:val="24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0C5A56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unhideWhenUsed/>
    <w:rsid w:val="00810814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810814"/>
    <w:rPr>
      <w:rFonts w:ascii="Consolas" w:hAnsi="Consolas"/>
      <w:sz w:val="21"/>
      <w:szCs w:val="21"/>
    </w:rPr>
  </w:style>
  <w:style w:type="table" w:styleId="Reetkatablice">
    <w:name w:val="Table Grid"/>
    <w:basedOn w:val="Obinatablica"/>
    <w:uiPriority w:val="59"/>
    <w:rsid w:val="0029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997B70"/>
    <w:rPr>
      <w:b/>
      <w:bCs/>
    </w:rPr>
  </w:style>
  <w:style w:type="paragraph" w:customStyle="1" w:styleId="Default">
    <w:name w:val="Default"/>
    <w:rsid w:val="005031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45F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45F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929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29B2"/>
  </w:style>
  <w:style w:type="paragraph" w:styleId="Podnoje">
    <w:name w:val="footer"/>
    <w:basedOn w:val="Normal"/>
    <w:link w:val="PodnojeChar"/>
    <w:uiPriority w:val="99"/>
    <w:unhideWhenUsed/>
    <w:rsid w:val="00D929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29B2"/>
  </w:style>
  <w:style w:type="character" w:styleId="Hiperveza">
    <w:name w:val="Hyperlink"/>
    <w:basedOn w:val="Zadanifontodlomka"/>
    <w:uiPriority w:val="99"/>
    <w:unhideWhenUsed/>
    <w:rsid w:val="0065352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247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C3891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3891"/>
    <w:pPr>
      <w:widowControl w:val="0"/>
      <w:autoSpaceDE w:val="0"/>
      <w:autoSpaceDN w:val="0"/>
      <w:jc w:val="right"/>
    </w:pPr>
    <w:rPr>
      <w:rFonts w:ascii="Calibri" w:eastAsia="Calibri" w:hAnsi="Calibri" w:cs="Calibri"/>
      <w:lang w:val="hr-HR"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9C3891"/>
    <w:rPr>
      <w:rFonts w:ascii="Calibri" w:eastAsia="Calibri" w:hAnsi="Calibri" w:cs="Calibri"/>
      <w:i/>
      <w:sz w:val="24"/>
      <w:szCs w:val="24"/>
      <w:lang w:val="hr-HR"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DA40AF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bs" w:eastAsia="bs" w:bidi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40AF"/>
    <w:rPr>
      <w:rFonts w:ascii="Calibri" w:eastAsia="Calibri" w:hAnsi="Calibri" w:cs="Calibri"/>
      <w:sz w:val="24"/>
      <w:szCs w:val="24"/>
      <w:lang w:val="bs" w:eastAsia="bs" w:bidi="b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1A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UserDocsImages//dokumenti/publikacije/smjernice//Smjernice%20za%20izradu%20DP%20RH%20za%202022%20i%20projekcija%20za%202023%20i%2020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fin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44E0-8BFA-4390-AED0-0BA5575F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15</Pages>
  <Words>6056</Words>
  <Characters>34524</Characters>
  <Application>Microsoft Office Word</Application>
  <DocSecurity>0</DocSecurity>
  <Lines>287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Kozmač</dc:creator>
  <cp:lastModifiedBy>Josip Bilandžija</cp:lastModifiedBy>
  <cp:revision>11</cp:revision>
  <cp:lastPrinted>2022-11-03T08:36:00Z</cp:lastPrinted>
  <dcterms:created xsi:type="dcterms:W3CDTF">2021-09-13T06:56:00Z</dcterms:created>
  <dcterms:modified xsi:type="dcterms:W3CDTF">2022-11-03T09:27:00Z</dcterms:modified>
</cp:coreProperties>
</file>