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4075" w14:textId="77777777" w:rsidR="00F53AAE" w:rsidRDefault="00F53AAE" w:rsidP="00F53AAE">
      <w:r>
        <w:rPr>
          <w:noProof/>
        </w:rPr>
        <w:drawing>
          <wp:anchor distT="0" distB="0" distL="114300" distR="114300" simplePos="0" relativeHeight="251659264" behindDoc="1" locked="0" layoutInCell="1" allowOverlap="1" wp14:anchorId="24D57F60" wp14:editId="2D845CF1">
            <wp:simplePos x="0" y="0"/>
            <wp:positionH relativeFrom="margin">
              <wp:align>left</wp:align>
            </wp:positionH>
            <wp:positionV relativeFrom="paragraph">
              <wp:posOffset>0</wp:posOffset>
            </wp:positionV>
            <wp:extent cx="685800" cy="1075055"/>
            <wp:effectExtent l="0" t="0" r="0" b="0"/>
            <wp:wrapTight wrapText="bothSides">
              <wp:wrapPolygon edited="0">
                <wp:start x="6600" y="0"/>
                <wp:lineTo x="0" y="8803"/>
                <wp:lineTo x="0" y="13396"/>
                <wp:lineTo x="10800" y="18755"/>
                <wp:lineTo x="12600" y="21051"/>
                <wp:lineTo x="15000" y="21051"/>
                <wp:lineTo x="15600" y="20669"/>
                <wp:lineTo x="17400" y="18755"/>
                <wp:lineTo x="20400" y="12631"/>
                <wp:lineTo x="20400" y="4210"/>
                <wp:lineTo x="16800" y="1914"/>
                <wp:lineTo x="9600" y="0"/>
                <wp:lineTo x="660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584" cy="1083137"/>
                    </a:xfrm>
                    <a:prstGeom prst="rect">
                      <a:avLst/>
                    </a:prstGeom>
                  </pic:spPr>
                </pic:pic>
              </a:graphicData>
            </a:graphic>
            <wp14:sizeRelH relativeFrom="margin">
              <wp14:pctWidth>0</wp14:pctWidth>
            </wp14:sizeRelH>
            <wp14:sizeRelV relativeFrom="margin">
              <wp14:pctHeight>0</wp14:pctHeight>
            </wp14:sizeRelV>
          </wp:anchor>
        </w:drawing>
      </w:r>
      <w:r>
        <w:t xml:space="preserve"> Javna ustanova za upravljanje Centrom za posjetitelje Garešnica</w:t>
      </w:r>
    </w:p>
    <w:p w14:paraId="52EAB4C6" w14:textId="77777777" w:rsidR="00F53AAE" w:rsidRDefault="00F53AAE" w:rsidP="00F53AAE">
      <w:r>
        <w:t>JU Garešnica</w:t>
      </w:r>
    </w:p>
    <w:p w14:paraId="1125FBE8" w14:textId="77777777" w:rsidR="00F53AAE" w:rsidRDefault="00F53AAE" w:rsidP="00F53AAE">
      <w:r>
        <w:t>Kolodvorska 2, 43280 Garešnica</w:t>
      </w:r>
    </w:p>
    <w:p w14:paraId="793D9CF0" w14:textId="77777777" w:rsidR="00F53AAE" w:rsidRDefault="00F53AAE" w:rsidP="00F53AAE">
      <w:r>
        <w:t xml:space="preserve">OIB: </w:t>
      </w:r>
      <w:r w:rsidRPr="00816EF5">
        <w:t>97626732662</w:t>
      </w:r>
    </w:p>
    <w:p w14:paraId="4BBAA317" w14:textId="77777777" w:rsidR="00F53AAE" w:rsidRDefault="00F53AAE" w:rsidP="00F53AAE">
      <w:r>
        <w:t xml:space="preserve"> MB: 5654165 </w:t>
      </w:r>
    </w:p>
    <w:p w14:paraId="520F8597" w14:textId="2844091D" w:rsidR="00F53AAE" w:rsidRDefault="00F53AAE" w:rsidP="00F53AAE">
      <w:pPr>
        <w:ind w:left="708"/>
      </w:pPr>
      <w:r>
        <w:t xml:space="preserve">   </w:t>
      </w:r>
      <w:r w:rsidR="00CB30CE">
        <w:t>KLASA: 400-01/22-01/3</w:t>
      </w:r>
    </w:p>
    <w:p w14:paraId="0CA46DCC" w14:textId="69EE1CDC" w:rsidR="00CB30CE" w:rsidRDefault="00CB30CE" w:rsidP="00F53AAE">
      <w:pPr>
        <w:ind w:left="708"/>
      </w:pPr>
      <w:r>
        <w:t xml:space="preserve">     URBROJ: 2103-4-4-22-1</w:t>
      </w:r>
    </w:p>
    <w:p w14:paraId="3884E2B3" w14:textId="36C811E8" w:rsidR="00F53AAE" w:rsidRDefault="00F53AAE" w:rsidP="00F53AAE">
      <w:r>
        <w:t xml:space="preserve">                         Garešnica, 10</w:t>
      </w:r>
      <w:r w:rsidRPr="00695EA5">
        <w:t>. listopad</w:t>
      </w:r>
      <w:r>
        <w:t xml:space="preserve"> 2022. godine</w:t>
      </w:r>
    </w:p>
    <w:p w14:paraId="1629905B" w14:textId="77777777" w:rsidR="00765D7D" w:rsidRDefault="00765D7D" w:rsidP="00F53AAE"/>
    <w:p w14:paraId="5CF9B5A2" w14:textId="77777777" w:rsidR="00F53AAE" w:rsidRDefault="00F53AAE" w:rsidP="00F53AAE">
      <w:pPr>
        <w:jc w:val="right"/>
      </w:pPr>
      <w:r>
        <w:t>Grad Garešnica</w:t>
      </w:r>
    </w:p>
    <w:p w14:paraId="72B9E210" w14:textId="77777777" w:rsidR="00F53AAE" w:rsidRDefault="00F53AAE" w:rsidP="00F53AAE">
      <w:pPr>
        <w:jc w:val="right"/>
      </w:pPr>
      <w:r>
        <w:t>Vladimira Nazora 20A</w:t>
      </w:r>
    </w:p>
    <w:p w14:paraId="60227453" w14:textId="7D8C8DD3" w:rsidR="00F53AAE" w:rsidRDefault="00F53AAE" w:rsidP="00F53AAE">
      <w:pPr>
        <w:jc w:val="right"/>
      </w:pPr>
      <w:r>
        <w:t>43280 Garešnica</w:t>
      </w:r>
    </w:p>
    <w:p w14:paraId="1429C534" w14:textId="5393C28F" w:rsidR="00F53AAE" w:rsidRDefault="00F53AAE" w:rsidP="00F53AAE">
      <w:pPr>
        <w:jc w:val="right"/>
      </w:pPr>
    </w:p>
    <w:p w14:paraId="669BB712" w14:textId="77777777" w:rsidR="00765D7D" w:rsidRDefault="00765D7D" w:rsidP="00F53AAE">
      <w:pPr>
        <w:jc w:val="right"/>
      </w:pPr>
    </w:p>
    <w:p w14:paraId="5B752226" w14:textId="7EF18448" w:rsidR="00F853E4" w:rsidRDefault="00F53AAE" w:rsidP="00F53AAE">
      <w:pPr>
        <w:jc w:val="center"/>
        <w:rPr>
          <w:b/>
          <w:bCs/>
        </w:rPr>
      </w:pPr>
      <w:r w:rsidRPr="00F53AAE">
        <w:rPr>
          <w:b/>
          <w:bCs/>
        </w:rPr>
        <w:t xml:space="preserve">OBRAZLOŽENJE </w:t>
      </w:r>
      <w:r w:rsidR="00B15E1F">
        <w:rPr>
          <w:b/>
          <w:bCs/>
        </w:rPr>
        <w:t xml:space="preserve">PRIJEDLOGA </w:t>
      </w:r>
      <w:r w:rsidRPr="00F53AAE">
        <w:rPr>
          <w:b/>
          <w:bCs/>
        </w:rPr>
        <w:t xml:space="preserve">FINANCIJSKOG PLANA JU GAREŠNICA ZA </w:t>
      </w:r>
    </w:p>
    <w:p w14:paraId="675CF93F" w14:textId="2335A12E" w:rsidR="00F53AAE" w:rsidRPr="00F53AAE" w:rsidRDefault="00F53AAE" w:rsidP="00F53AAE">
      <w:pPr>
        <w:jc w:val="center"/>
        <w:rPr>
          <w:b/>
          <w:bCs/>
        </w:rPr>
      </w:pPr>
      <w:r w:rsidRPr="00F53AAE">
        <w:rPr>
          <w:b/>
          <w:bCs/>
        </w:rPr>
        <w:t>2023. GODINU</w:t>
      </w:r>
      <w:r w:rsidR="00117379">
        <w:rPr>
          <w:b/>
          <w:bCs/>
        </w:rPr>
        <w:t xml:space="preserve"> S PROJEKCIJAMA ZA 2024. I 2025. GODINU</w:t>
      </w:r>
    </w:p>
    <w:p w14:paraId="220A5FFF" w14:textId="05A413BB" w:rsidR="00F53AAE" w:rsidRDefault="00F53AAE" w:rsidP="00F53AAE">
      <w:pPr>
        <w:jc w:val="center"/>
      </w:pPr>
    </w:p>
    <w:p w14:paraId="2F4CCECB" w14:textId="6DFD30FB" w:rsidR="00670243" w:rsidRDefault="00670243" w:rsidP="00F53AAE">
      <w:pPr>
        <w:jc w:val="both"/>
      </w:pPr>
      <w:r w:rsidRPr="00670243">
        <w:t>Ključna uloga Javne ustanove Garešnica</w:t>
      </w:r>
      <w:r>
        <w:t xml:space="preserve"> (osnovana </w:t>
      </w:r>
      <w:r w:rsidRPr="00670243">
        <w:t>22. kolovoza 2022. godine</w:t>
      </w:r>
      <w:r>
        <w:t xml:space="preserve">, </w:t>
      </w:r>
      <w:r w:rsidRPr="00670243">
        <w:t>„Službeni glasnik Grada Garešnice“ broj 9/22)</w:t>
      </w:r>
      <w:r>
        <w:t xml:space="preserve"> </w:t>
      </w:r>
      <w:r w:rsidRPr="00670243">
        <w:t xml:space="preserve">te njeno djelovanje je održavanje i promocija područja Poilovlja kao turističke destinacije te edukacija lokalnog stanovništva i posjetitelja o raznolikosti i vrijednosti prirodne baštine i važnosti očuvanja bioraznolikosti na području Poilovlja. Ustanova je smještena u novoadaptiranoj zgradi Centar za posjetitelje „Natura 2000“ čija je obnova provedena u sklopu projekta </w:t>
      </w:r>
      <w:r w:rsidRPr="00F27C46">
        <w:rPr>
          <w:i/>
          <w:iCs/>
        </w:rPr>
        <w:t>ZELENI VRTOVI POILOVLJA</w:t>
      </w:r>
      <w:r w:rsidRPr="00670243">
        <w:t xml:space="preserve"> realiziranog pri Europskom fondu za regionalni razvoj iz Operativnog programa konkurentnost i kohezija 2014. - 2020. Javnoj ustanovi Garešnica dano je na upravljanje Centar za posjetitelje „Natura 2000“ Odlukom o povjeravanju na upravljanje, korištenje i održavanje Centra za posjetitelje „NATURA 2000“ (Službeni glasnik 10/22).</w:t>
      </w:r>
    </w:p>
    <w:p w14:paraId="4D600AEC" w14:textId="1A613CD6" w:rsidR="00F53AAE" w:rsidRDefault="00F53AAE" w:rsidP="00F53AAE">
      <w:pPr>
        <w:jc w:val="both"/>
      </w:pPr>
    </w:p>
    <w:p w14:paraId="6371808E" w14:textId="77777777" w:rsidR="00765D7D" w:rsidRPr="00765D7D" w:rsidRDefault="00765D7D" w:rsidP="00765D7D">
      <w:pPr>
        <w:jc w:val="both"/>
      </w:pPr>
      <w:r w:rsidRPr="00765D7D">
        <w:t>ORGANIZACIJSKA STRUKTURA: U JU Garešnica su ustrojene tri ustrojstvene jedinice:</w:t>
      </w:r>
    </w:p>
    <w:p w14:paraId="145DC5C5" w14:textId="77777777" w:rsidR="00765D7D" w:rsidRPr="00765D7D" w:rsidRDefault="00765D7D" w:rsidP="00765D7D">
      <w:pPr>
        <w:numPr>
          <w:ilvl w:val="0"/>
          <w:numId w:val="2"/>
        </w:numPr>
        <w:jc w:val="both"/>
      </w:pPr>
      <w:r w:rsidRPr="00765D7D">
        <w:t xml:space="preserve">Ured ravnatelja zastupa, predstavlja, upravlja i koordinira rad svih službi. Obavlja opće, administrativne i stručne poslove, odnose s javnošću, poslove javnog informiranja te protokolarne poslove. Komunicira i surađuje s tijelima državne uprave, regionalne i lokalne samouprave, s institucijama iz inozemstva, privatnim društvima te dionicima u turizmu. </w:t>
      </w:r>
    </w:p>
    <w:p w14:paraId="6C78C58B" w14:textId="77777777" w:rsidR="00765D7D" w:rsidRPr="00765D7D" w:rsidRDefault="00765D7D" w:rsidP="00765D7D">
      <w:pPr>
        <w:numPr>
          <w:ilvl w:val="0"/>
          <w:numId w:val="2"/>
        </w:numPr>
        <w:jc w:val="both"/>
      </w:pPr>
      <w:r w:rsidRPr="00765D7D">
        <w:t xml:space="preserve">Služba tehničkog održavanja održava i brine o popravcima kućnih instalacija, opremu, i inventar te nadzire korištenje Centra za posjetitelje. Pruža tehničku podršku na svim događanjima te vodi brigu o održavanju imovine JU Garešnica. </w:t>
      </w:r>
    </w:p>
    <w:p w14:paraId="703F616D" w14:textId="77777777" w:rsidR="00765D7D" w:rsidRPr="00765D7D" w:rsidRDefault="00765D7D" w:rsidP="00765D7D">
      <w:pPr>
        <w:numPr>
          <w:ilvl w:val="0"/>
          <w:numId w:val="2"/>
        </w:numPr>
        <w:jc w:val="both"/>
      </w:pPr>
      <w:r w:rsidRPr="00765D7D">
        <w:t>Služba čistoće vodi brigu o čišći i higijenskom održavanju Centra za posjetitelje.</w:t>
      </w:r>
    </w:p>
    <w:p w14:paraId="4A897D38" w14:textId="21F8BFAE" w:rsidR="00765D7D" w:rsidRPr="00765D7D" w:rsidRDefault="00765D7D" w:rsidP="00765D7D">
      <w:pPr>
        <w:jc w:val="both"/>
      </w:pPr>
      <w:r w:rsidRPr="00765D7D">
        <w:t xml:space="preserve">U JU Garešnica je zaposleno tri djelatnika, jedan u Uredu ravnatelja, jedan u Službi tehničkog održavanja i jedan u Službi čistoće. </w:t>
      </w:r>
    </w:p>
    <w:p w14:paraId="1F6792A5" w14:textId="77777777" w:rsidR="00765D7D" w:rsidRDefault="00765D7D" w:rsidP="00F53AAE">
      <w:pPr>
        <w:jc w:val="both"/>
      </w:pPr>
    </w:p>
    <w:p w14:paraId="21F17BA3" w14:textId="77777777" w:rsidR="00F53AAE" w:rsidRDefault="00F53AAE" w:rsidP="00F53AAE">
      <w:pPr>
        <w:pStyle w:val="Odlomakpopisa"/>
        <w:numPr>
          <w:ilvl w:val="0"/>
          <w:numId w:val="1"/>
        </w:numPr>
        <w:rPr>
          <w:b/>
          <w:bCs/>
        </w:rPr>
      </w:pPr>
      <w:r>
        <w:rPr>
          <w:b/>
          <w:bCs/>
        </w:rPr>
        <w:t>Opći dio financijskog plana</w:t>
      </w:r>
    </w:p>
    <w:p w14:paraId="794ADE94" w14:textId="77777777" w:rsidR="003D76F3" w:rsidRDefault="003D76F3" w:rsidP="003D76F3">
      <w:pPr>
        <w:jc w:val="both"/>
      </w:pPr>
    </w:p>
    <w:p w14:paraId="2DD52A96" w14:textId="4849DAA3" w:rsidR="00F53AAE" w:rsidRDefault="003D76F3" w:rsidP="003D76F3">
      <w:pPr>
        <w:jc w:val="both"/>
      </w:pPr>
      <w:r w:rsidRPr="003D76F3">
        <w:t xml:space="preserve">U općem djelu financijskog plana donosimo obrazloženje prihoda i rashoda, primitaka i izdataka te obrazloženje prenesenog manjka odnosno viška financijskog plana (ako postoje). </w:t>
      </w:r>
    </w:p>
    <w:p w14:paraId="54557741" w14:textId="13775B5D" w:rsidR="003D76F3" w:rsidRDefault="003D76F3" w:rsidP="003D76F3">
      <w:pPr>
        <w:jc w:val="both"/>
      </w:pPr>
    </w:p>
    <w:p w14:paraId="64F8B196" w14:textId="68BC7608" w:rsidR="00AB6104" w:rsidRDefault="004C7FE1" w:rsidP="003D76F3">
      <w:pPr>
        <w:jc w:val="both"/>
      </w:pPr>
      <w:r w:rsidRPr="00C62A8A">
        <w:t>Ukupni prihodi</w:t>
      </w:r>
      <w:r>
        <w:t xml:space="preserve"> predviđeni za 2023. godinu iznose </w:t>
      </w:r>
      <w:r w:rsidR="00004F87">
        <w:t>91</w:t>
      </w:r>
      <w:r w:rsidR="00170F1D">
        <w:t>.</w:t>
      </w:r>
      <w:r w:rsidR="00004F87">
        <w:t>7</w:t>
      </w:r>
      <w:r w:rsidR="0002278D">
        <w:t>00</w:t>
      </w:r>
      <w:r w:rsidR="00170F1D">
        <w:t>,</w:t>
      </w:r>
      <w:r w:rsidR="0002278D">
        <w:t>00 eura (</w:t>
      </w:r>
      <w:r w:rsidR="00004F87">
        <w:t>690.913,65</w:t>
      </w:r>
      <w:r w:rsidR="0002278D" w:rsidRPr="0002278D">
        <w:t xml:space="preserve"> kn</w:t>
      </w:r>
      <w:r w:rsidR="0002278D">
        <w:t xml:space="preserve">). </w:t>
      </w:r>
      <w:r>
        <w:t xml:space="preserve">Od ukupnog iznosa, </w:t>
      </w:r>
      <w:r w:rsidRPr="0002278D">
        <w:t>opći prihodi i primici</w:t>
      </w:r>
      <w:r>
        <w:t xml:space="preserve"> za 2023. godinu </w:t>
      </w:r>
      <w:r w:rsidRPr="0002278D">
        <w:t xml:space="preserve">iznose </w:t>
      </w:r>
      <w:r w:rsidR="00D63012" w:rsidRPr="0002278D">
        <w:t xml:space="preserve"> </w:t>
      </w:r>
      <w:r w:rsidR="0002278D" w:rsidRPr="0002278D">
        <w:t xml:space="preserve"> </w:t>
      </w:r>
      <w:r w:rsidR="00004F87">
        <w:t>79</w:t>
      </w:r>
      <w:r w:rsidR="00170F1D">
        <w:t>.</w:t>
      </w:r>
      <w:r w:rsidR="00004F87">
        <w:t>7</w:t>
      </w:r>
      <w:r w:rsidR="0002278D" w:rsidRPr="0002278D">
        <w:t>00</w:t>
      </w:r>
      <w:r w:rsidR="00170F1D">
        <w:t>,</w:t>
      </w:r>
      <w:r w:rsidR="0002278D" w:rsidRPr="0002278D">
        <w:t xml:space="preserve">00 eura </w:t>
      </w:r>
      <w:r w:rsidRPr="0002278D">
        <w:t>(</w:t>
      </w:r>
      <w:r w:rsidR="00004F87">
        <w:t>600</w:t>
      </w:r>
      <w:r w:rsidR="00170F1D">
        <w:t>.</w:t>
      </w:r>
      <w:r w:rsidR="00004F87">
        <w:t>499,65</w:t>
      </w:r>
      <w:r w:rsidR="0002278D" w:rsidRPr="0002278D">
        <w:t xml:space="preserve"> kn</w:t>
      </w:r>
      <w:r w:rsidRPr="0002278D">
        <w:t xml:space="preserve">) </w:t>
      </w:r>
      <w:r>
        <w:t>i odnose se za financiranje redovne djelatnosti JU Garešnica</w:t>
      </w:r>
      <w:r w:rsidR="0002278D">
        <w:t xml:space="preserve"> u iznosu </w:t>
      </w:r>
      <w:r w:rsidR="0002278D" w:rsidRPr="00170F1D">
        <w:t xml:space="preserve">od </w:t>
      </w:r>
      <w:r w:rsidR="00004F87">
        <w:t>76</w:t>
      </w:r>
      <w:r w:rsidR="00170F1D">
        <w:t>.</w:t>
      </w:r>
      <w:r w:rsidR="00004F87">
        <w:t>1</w:t>
      </w:r>
      <w:r w:rsidR="0002278D" w:rsidRPr="00170F1D">
        <w:t>00</w:t>
      </w:r>
      <w:r w:rsidR="00170F1D">
        <w:t>,</w:t>
      </w:r>
      <w:r w:rsidR="0002278D" w:rsidRPr="00170F1D">
        <w:t xml:space="preserve">00 eura odnosno </w:t>
      </w:r>
      <w:r w:rsidR="00170F1D" w:rsidRPr="00170F1D">
        <w:t xml:space="preserve"> </w:t>
      </w:r>
      <w:r w:rsidR="00004F87">
        <w:t>573.375,45</w:t>
      </w:r>
      <w:r w:rsidR="00170F1D" w:rsidRPr="00170F1D">
        <w:t xml:space="preserve"> </w:t>
      </w:r>
      <w:r w:rsidR="0002278D">
        <w:t xml:space="preserve">kn </w:t>
      </w:r>
      <w:r w:rsidR="00F7247C">
        <w:t>(</w:t>
      </w:r>
      <w:r w:rsidR="00170F1D">
        <w:t>rashodi za</w:t>
      </w:r>
      <w:r w:rsidR="00F7247C">
        <w:t xml:space="preserve"> zaposlenik</w:t>
      </w:r>
      <w:r w:rsidR="00170F1D">
        <w:t xml:space="preserve">e </w:t>
      </w:r>
      <w:r w:rsidR="0002278D">
        <w:t>i</w:t>
      </w:r>
      <w:r w:rsidR="00F7247C">
        <w:t xml:space="preserve"> materijalne rashode</w:t>
      </w:r>
      <w:r w:rsidR="009665F0">
        <w:t>)</w:t>
      </w:r>
      <w:r w:rsidR="0002278D">
        <w:t xml:space="preserve"> te na rashode nefinancijske (dugotrajne) imovine u iznosu od </w:t>
      </w:r>
      <w:r w:rsidR="0002278D" w:rsidRPr="0002278D">
        <w:t xml:space="preserve"> </w:t>
      </w:r>
      <w:r w:rsidR="00170F1D" w:rsidRPr="00170F1D">
        <w:t xml:space="preserve"> </w:t>
      </w:r>
      <w:r w:rsidR="00004F87">
        <w:t>3</w:t>
      </w:r>
      <w:r w:rsidR="00170F1D">
        <w:t>.</w:t>
      </w:r>
      <w:r w:rsidR="00004F87">
        <w:t>6</w:t>
      </w:r>
      <w:r w:rsidR="00170F1D" w:rsidRPr="00170F1D">
        <w:t>00</w:t>
      </w:r>
      <w:r w:rsidR="00170F1D">
        <w:t>,</w:t>
      </w:r>
      <w:r w:rsidR="00170F1D" w:rsidRPr="00170F1D">
        <w:t xml:space="preserve">00 </w:t>
      </w:r>
      <w:r w:rsidR="0002278D" w:rsidRPr="00170F1D">
        <w:t>eura (</w:t>
      </w:r>
      <w:r w:rsidR="00004F87">
        <w:t>27.124,20</w:t>
      </w:r>
      <w:r w:rsidR="00170F1D" w:rsidRPr="00170F1D">
        <w:t xml:space="preserve"> </w:t>
      </w:r>
      <w:r w:rsidR="0002278D" w:rsidRPr="00170F1D">
        <w:t>kn).</w:t>
      </w:r>
      <w:r w:rsidR="0002278D">
        <w:t xml:space="preserve"> </w:t>
      </w:r>
    </w:p>
    <w:p w14:paraId="06AED5B4" w14:textId="7C4921B8" w:rsidR="00F7247C" w:rsidRDefault="00F7247C" w:rsidP="003D76F3">
      <w:pPr>
        <w:jc w:val="both"/>
      </w:pPr>
    </w:p>
    <w:p w14:paraId="1C9F8D0D" w14:textId="7825C1E1" w:rsidR="00F7247C" w:rsidRDefault="00771274" w:rsidP="003D76F3">
      <w:pPr>
        <w:jc w:val="both"/>
      </w:pPr>
      <w:r w:rsidRPr="00C62A8A">
        <w:lastRenderedPageBreak/>
        <w:t>V</w:t>
      </w:r>
      <w:r w:rsidR="00F7247C" w:rsidRPr="00C62A8A">
        <w:t>lastitih prihoda</w:t>
      </w:r>
      <w:r w:rsidR="00F7247C">
        <w:t xml:space="preserve"> u 2023. godini očekuje se iznos od </w:t>
      </w:r>
      <w:r w:rsidR="0002278D" w:rsidRPr="0002278D">
        <w:t>12</w:t>
      </w:r>
      <w:r w:rsidR="00170F1D">
        <w:t>.</w:t>
      </w:r>
      <w:r w:rsidR="0002278D" w:rsidRPr="0002278D">
        <w:t>000</w:t>
      </w:r>
      <w:r w:rsidR="00170F1D">
        <w:t>,</w:t>
      </w:r>
      <w:r w:rsidR="0002278D" w:rsidRPr="0002278D">
        <w:t>00 eura (90,414.00 kn)</w:t>
      </w:r>
      <w:r w:rsidR="00F7247C" w:rsidRPr="0002278D">
        <w:t xml:space="preserve">. </w:t>
      </w:r>
      <w:r w:rsidR="00A2739F">
        <w:t>Vlastiti prihodi ostvarit će se obavljanjem poslova na tržištu i pod tržišnim uvjetima. Prihodi će se ostvariti od prodaje proizvoda i usluga koje pruža JU Garešnica u sklopu Centra za posjetitelje</w:t>
      </w:r>
      <w:r w:rsidR="00004F87">
        <w:t>.</w:t>
      </w:r>
      <w:r w:rsidR="00202C85">
        <w:t xml:space="preserve"> </w:t>
      </w:r>
      <w:r w:rsidR="00A2739F">
        <w:t xml:space="preserve"> </w:t>
      </w:r>
    </w:p>
    <w:p w14:paraId="514080E1" w14:textId="329D24D6" w:rsidR="00026D2B" w:rsidRDefault="00026D2B" w:rsidP="003D76F3">
      <w:pPr>
        <w:jc w:val="both"/>
      </w:pPr>
    </w:p>
    <w:p w14:paraId="12B9FC48" w14:textId="6DA6616A" w:rsidR="00026D2B" w:rsidRDefault="00026D2B" w:rsidP="00026D2B">
      <w:pPr>
        <w:jc w:val="both"/>
      </w:pPr>
      <w:r w:rsidRPr="00026D2B">
        <w:t>Planirani vlastiti prihodi u 2023. godini ostvarit će se iz sljedećih izvora:</w:t>
      </w:r>
    </w:p>
    <w:p w14:paraId="6E197E51" w14:textId="0968E6C4" w:rsidR="00026D2B" w:rsidRDefault="00026D2B" w:rsidP="00026D2B">
      <w:pPr>
        <w:pStyle w:val="Odlomakpopisa"/>
        <w:numPr>
          <w:ilvl w:val="0"/>
          <w:numId w:val="5"/>
        </w:numPr>
        <w:jc w:val="both"/>
      </w:pPr>
      <w:r>
        <w:t>Od prodaje ulaznica Centra za posjetitelje Natura 2000</w:t>
      </w:r>
    </w:p>
    <w:p w14:paraId="630FD0C0" w14:textId="2793A165" w:rsidR="00026D2B" w:rsidRDefault="00026D2B" w:rsidP="00026D2B">
      <w:pPr>
        <w:pStyle w:val="Odlomakpopisa"/>
        <w:numPr>
          <w:ilvl w:val="0"/>
          <w:numId w:val="5"/>
        </w:numPr>
        <w:jc w:val="both"/>
      </w:pPr>
      <w:r>
        <w:t>Od prodaje tur. programa namijenjenih za školske grupe</w:t>
      </w:r>
    </w:p>
    <w:p w14:paraId="70C8422B" w14:textId="463BC479" w:rsidR="00026D2B" w:rsidRDefault="00026D2B" w:rsidP="00026D2B">
      <w:pPr>
        <w:pStyle w:val="Odlomakpopisa"/>
        <w:numPr>
          <w:ilvl w:val="0"/>
          <w:numId w:val="5"/>
        </w:numPr>
        <w:jc w:val="both"/>
      </w:pPr>
      <w:r>
        <w:t>Od iznajmljivanja multimedijalne dvorane</w:t>
      </w:r>
    </w:p>
    <w:p w14:paraId="4D9F6574" w14:textId="10328C91" w:rsidR="00026D2B" w:rsidRDefault="00026D2B" w:rsidP="00026D2B">
      <w:pPr>
        <w:pStyle w:val="Odlomakpopisa"/>
        <w:numPr>
          <w:ilvl w:val="0"/>
          <w:numId w:val="5"/>
        </w:numPr>
        <w:jc w:val="both"/>
      </w:pPr>
      <w:r>
        <w:t>Od iznajmljivanja multimedijalne učionice</w:t>
      </w:r>
    </w:p>
    <w:p w14:paraId="7703FA77" w14:textId="69F0A8B6" w:rsidR="00026D2B" w:rsidRDefault="00026D2B" w:rsidP="00026D2B">
      <w:pPr>
        <w:pStyle w:val="Odlomakpopisa"/>
        <w:numPr>
          <w:ilvl w:val="0"/>
          <w:numId w:val="5"/>
        </w:numPr>
        <w:jc w:val="both"/>
      </w:pPr>
      <w:r>
        <w:t>Od organizacije i izvođenje edukativnih radionica u laboratoriju</w:t>
      </w:r>
    </w:p>
    <w:p w14:paraId="50852AE1" w14:textId="4B6C6022" w:rsidR="001F1CD9" w:rsidRDefault="001F1CD9" w:rsidP="00026D2B">
      <w:pPr>
        <w:pStyle w:val="Odlomakpopisa"/>
        <w:numPr>
          <w:ilvl w:val="0"/>
          <w:numId w:val="5"/>
        </w:numPr>
        <w:jc w:val="both"/>
      </w:pPr>
      <w:r w:rsidRPr="001F1CD9">
        <w:t>Od organizacije i izvođenje edukativnih radionica</w:t>
      </w:r>
      <w:r>
        <w:t xml:space="preserve"> u multimedijalnoj učionici</w:t>
      </w:r>
    </w:p>
    <w:p w14:paraId="4E31CAAB" w14:textId="69D5FA60" w:rsidR="00A2739F" w:rsidRDefault="00026D2B" w:rsidP="00026D2B">
      <w:pPr>
        <w:pStyle w:val="Odlomakpopisa"/>
        <w:numPr>
          <w:ilvl w:val="0"/>
          <w:numId w:val="5"/>
        </w:numPr>
        <w:jc w:val="both"/>
      </w:pPr>
      <w:r>
        <w:t xml:space="preserve">Od </w:t>
      </w:r>
      <w:r w:rsidR="00C54911">
        <w:t>iznajmljivanja</w:t>
      </w:r>
      <w:r w:rsidR="00E53F11">
        <w:t xml:space="preserve"> bicikala, dalekozora, teleskopa i čamaca</w:t>
      </w:r>
    </w:p>
    <w:p w14:paraId="782466E8" w14:textId="6A1D9D23" w:rsidR="00E53F11" w:rsidRDefault="00E53F11" w:rsidP="00026D2B">
      <w:pPr>
        <w:pStyle w:val="Odlomakpopisa"/>
        <w:numPr>
          <w:ilvl w:val="0"/>
          <w:numId w:val="5"/>
        </w:numPr>
        <w:jc w:val="both"/>
      </w:pPr>
      <w:r>
        <w:t>Od prodaje suvenira</w:t>
      </w:r>
    </w:p>
    <w:p w14:paraId="0D222DFC" w14:textId="28B64FD1" w:rsidR="00E53F11" w:rsidRDefault="00E53F11" w:rsidP="00026D2B">
      <w:pPr>
        <w:pStyle w:val="Odlomakpopisa"/>
        <w:numPr>
          <w:ilvl w:val="0"/>
          <w:numId w:val="5"/>
        </w:numPr>
        <w:jc w:val="both"/>
      </w:pPr>
      <w:r>
        <w:t xml:space="preserve">Od prodaje tur. programa namijenjenih individualnim posjetiteljima </w:t>
      </w:r>
    </w:p>
    <w:p w14:paraId="2EC8FF38" w14:textId="77777777" w:rsidR="00E53F11" w:rsidRDefault="00E53F11" w:rsidP="00E53F11">
      <w:pPr>
        <w:pStyle w:val="Odlomakpopisa"/>
        <w:jc w:val="both"/>
      </w:pPr>
    </w:p>
    <w:p w14:paraId="6CE22ACA" w14:textId="23D2A791" w:rsidR="00C47F4C" w:rsidRDefault="00A2739F" w:rsidP="003D76F3">
      <w:pPr>
        <w:jc w:val="both"/>
        <w:rPr>
          <w:color w:val="FF0000"/>
        </w:rPr>
      </w:pPr>
      <w:r>
        <w:t>U</w:t>
      </w:r>
      <w:r w:rsidRPr="00A2739F">
        <w:t xml:space="preserve"> </w:t>
      </w:r>
      <w:r>
        <w:t>prvoj godini</w:t>
      </w:r>
      <w:r w:rsidRPr="00A2739F">
        <w:t xml:space="preserve"> poslovanja</w:t>
      </w:r>
      <w:r>
        <w:t>, svakako je</w:t>
      </w:r>
      <w:r w:rsidR="00AB4564">
        <w:t xml:space="preserve"> potrebna</w:t>
      </w:r>
      <w:r w:rsidRPr="00A2739F">
        <w:t xml:space="preserve"> </w:t>
      </w:r>
      <w:r>
        <w:t xml:space="preserve">dodatna </w:t>
      </w:r>
      <w:r w:rsidRPr="00A2739F">
        <w:t xml:space="preserve">oprema za rad i funkcioniranje JU Garešnica i Centra za posjetitelje. </w:t>
      </w:r>
      <w:r w:rsidR="00C47F4C">
        <w:t xml:space="preserve">Očekuje se </w:t>
      </w:r>
      <w:r w:rsidR="00C47F4C" w:rsidRPr="00C62A8A">
        <w:t>donacija jednog</w:t>
      </w:r>
      <w:r w:rsidR="00C47F4C">
        <w:t xml:space="preserve"> računala u vrijednosti </w:t>
      </w:r>
      <w:r w:rsidR="00C47F4C" w:rsidRPr="00075D3E">
        <w:t xml:space="preserve">od  </w:t>
      </w:r>
      <w:r w:rsidR="00450704" w:rsidRPr="00075D3E">
        <w:t>700 eura</w:t>
      </w:r>
      <w:r w:rsidR="00C47F4C" w:rsidRPr="00075D3E">
        <w:t xml:space="preserve"> (</w:t>
      </w:r>
      <w:r w:rsidR="00450704" w:rsidRPr="00075D3E">
        <w:t>5</w:t>
      </w:r>
      <w:r w:rsidR="00170F1D">
        <w:t>.</w:t>
      </w:r>
      <w:r w:rsidR="00450704" w:rsidRPr="00075D3E">
        <w:t>274</w:t>
      </w:r>
      <w:r w:rsidR="00170F1D">
        <w:t>,</w:t>
      </w:r>
      <w:r w:rsidR="00450704" w:rsidRPr="00075D3E">
        <w:t>15 kn</w:t>
      </w:r>
      <w:r w:rsidR="00C47F4C" w:rsidRPr="00075D3E">
        <w:t xml:space="preserve">). </w:t>
      </w:r>
      <w:r w:rsidR="00C47F4C" w:rsidRPr="00D0609D">
        <w:t xml:space="preserve">Donacije se očekuju od izvanproračunskih korisnika. </w:t>
      </w:r>
      <w:r w:rsidR="009D4B62" w:rsidRPr="009D4B62">
        <w:t>Računalo je predviđeno postaviti u laboratorij gdje se nalaze mikroskopi koji imaju opciju promatranja uzoraka putem kamere. Shodno tome, računalo je potrebno za instalaciju programa i zajedničkog promatranja postavljenog uzroka pod mikroskop.</w:t>
      </w:r>
      <w:r w:rsidR="009D4B62">
        <w:t xml:space="preserve"> </w:t>
      </w:r>
    </w:p>
    <w:p w14:paraId="311BE959" w14:textId="15DEDACA" w:rsidR="00C47F4C" w:rsidRDefault="00C47F4C" w:rsidP="003D76F3">
      <w:pPr>
        <w:jc w:val="both"/>
        <w:rPr>
          <w:color w:val="FF0000"/>
        </w:rPr>
      </w:pPr>
    </w:p>
    <w:p w14:paraId="2CACF306" w14:textId="58A08C8F" w:rsidR="00C47F4C" w:rsidRDefault="0033511D" w:rsidP="003D76F3">
      <w:pPr>
        <w:jc w:val="both"/>
        <w:rPr>
          <w:color w:val="FF0000"/>
        </w:rPr>
      </w:pPr>
      <w:r>
        <w:t xml:space="preserve">JU Garešnica će se </w:t>
      </w:r>
      <w:r w:rsidR="00556055">
        <w:t>aplicirati</w:t>
      </w:r>
      <w:r>
        <w:t xml:space="preserve"> na </w:t>
      </w:r>
      <w:r w:rsidRPr="00760C2F">
        <w:t xml:space="preserve">natječaje regionalne i lokalne turističke zajednice </w:t>
      </w:r>
      <w:r>
        <w:t>radi unapređenja svojih usluga</w:t>
      </w:r>
      <w:r w:rsidR="00075D3E">
        <w:t xml:space="preserve"> i</w:t>
      </w:r>
      <w:r>
        <w:t xml:space="preserve"> </w:t>
      </w:r>
      <w:r w:rsidRPr="00075D3E">
        <w:t xml:space="preserve">promocije. </w:t>
      </w:r>
      <w:r w:rsidR="00760C2F" w:rsidRPr="00075D3E">
        <w:t>Ukoliko JU Garešnica budu odobrena sredstva,</w:t>
      </w:r>
      <w:r w:rsidR="00075D3E" w:rsidRPr="00075D3E">
        <w:t xml:space="preserve"> koristit će se</w:t>
      </w:r>
      <w:r w:rsidR="0070292C" w:rsidRPr="00075D3E">
        <w:t xml:space="preserve"> namjenski prema uvjetima natječaja i ugovora. </w:t>
      </w:r>
      <w:r w:rsidR="00075D3E" w:rsidRPr="00075D3E">
        <w:t xml:space="preserve">Također, za djelatnike, koji su u kontaktu s posjetiteljima kao domaćini, voditelji i predstavnici Centra, predviđene su edukacije o biljnom i životinjskom svijetu, ekološkoj mreži Natura 2000 i o bioraznolikosti područja Poilovlja. </w:t>
      </w:r>
    </w:p>
    <w:p w14:paraId="1A53F86B" w14:textId="77777777" w:rsidR="00075D3E" w:rsidRDefault="00075D3E" w:rsidP="003D76F3">
      <w:pPr>
        <w:jc w:val="both"/>
      </w:pPr>
    </w:p>
    <w:p w14:paraId="5E62066E" w14:textId="2E7ED068" w:rsidR="005B38A2" w:rsidRPr="006B380A" w:rsidRDefault="00AB4564" w:rsidP="003D76F3">
      <w:pPr>
        <w:jc w:val="both"/>
      </w:pPr>
      <w:r w:rsidRPr="005B38A2">
        <w:t xml:space="preserve">Kako bismo ispunili ciljeve misije i vizije, navedene u Planu rada, neophodna je nabava digitalne opreme, ulaganje u računalne programe, održavanje web stranice, stvaranje interaktivnih aplikacija, </w:t>
      </w:r>
      <w:r w:rsidR="005A14D8">
        <w:t xml:space="preserve">te potencijalno kupnju </w:t>
      </w:r>
      <w:r w:rsidR="005A14D8" w:rsidRPr="005A14D8">
        <w:t>VR naočal</w:t>
      </w:r>
      <w:r w:rsidR="005A14D8">
        <w:t xml:space="preserve">a. </w:t>
      </w:r>
      <w:r w:rsidR="005B38A2">
        <w:t xml:space="preserve">Stoga su predviđena financijska sredstva u iznosu </w:t>
      </w:r>
      <w:r w:rsidR="005B38A2" w:rsidRPr="006B380A">
        <w:t>od</w:t>
      </w:r>
      <w:r w:rsidR="00583EF3" w:rsidRPr="006B380A">
        <w:t xml:space="preserve"> </w:t>
      </w:r>
      <w:r w:rsidR="005A14D8">
        <w:t>2</w:t>
      </w:r>
      <w:r w:rsidR="00170F1D">
        <w:t>.</w:t>
      </w:r>
      <w:r w:rsidR="005A14D8">
        <w:t>8</w:t>
      </w:r>
      <w:r w:rsidR="00583EF3" w:rsidRPr="006B380A">
        <w:t>00</w:t>
      </w:r>
      <w:r w:rsidR="00170F1D">
        <w:t>,</w:t>
      </w:r>
      <w:r w:rsidR="00583EF3" w:rsidRPr="006B380A">
        <w:t>00</w:t>
      </w:r>
      <w:r w:rsidR="005B38A2" w:rsidRPr="006B380A">
        <w:t xml:space="preserve"> </w:t>
      </w:r>
      <w:r w:rsidR="00051B8F" w:rsidRPr="006B380A">
        <w:t>eur</w:t>
      </w:r>
      <w:r w:rsidR="00583EF3" w:rsidRPr="006B380A">
        <w:t xml:space="preserve">a ( </w:t>
      </w:r>
      <w:r w:rsidR="005A14D8">
        <w:t>21.096,60</w:t>
      </w:r>
      <w:r w:rsidR="00583EF3" w:rsidRPr="006B380A">
        <w:t xml:space="preserve"> kn)</w:t>
      </w:r>
      <w:r w:rsidR="00051B8F" w:rsidRPr="006B380A">
        <w:t xml:space="preserve">. </w:t>
      </w:r>
    </w:p>
    <w:p w14:paraId="4282C4E5" w14:textId="77777777" w:rsidR="005B38A2" w:rsidRDefault="005B38A2" w:rsidP="003D76F3">
      <w:pPr>
        <w:jc w:val="both"/>
        <w:rPr>
          <w:color w:val="FF0000"/>
        </w:rPr>
      </w:pPr>
    </w:p>
    <w:p w14:paraId="10B44F48" w14:textId="2C0B1902" w:rsidR="00BF2261" w:rsidRDefault="00A2739F" w:rsidP="003D76F3">
      <w:pPr>
        <w:jc w:val="both"/>
      </w:pPr>
      <w:r w:rsidRPr="00A2739F">
        <w:t xml:space="preserve">Centar za posjetitelje sadrži i akvarij u kojem </w:t>
      </w:r>
      <w:r w:rsidR="005B38A2">
        <w:t xml:space="preserve">borave </w:t>
      </w:r>
      <w:r w:rsidRPr="00A2739F">
        <w:t>ribe s područja Poilovlja.</w:t>
      </w:r>
      <w:r w:rsidR="005B38A2">
        <w:t xml:space="preserve"> Potrebno je osigurati financijska sredstva za hranu, mjesečne zdravstvene i tehničke preglede, ali i sredstva za eventualne intervencije. </w:t>
      </w:r>
      <w:r w:rsidR="00BF2261">
        <w:t xml:space="preserve">Za 2023. godinu je </w:t>
      </w:r>
      <w:r w:rsidR="00BF2261" w:rsidRPr="00582FB2">
        <w:t xml:space="preserve">predviđeno </w:t>
      </w:r>
      <w:r w:rsidR="003A5AE7">
        <w:t>600</w:t>
      </w:r>
      <w:r w:rsidR="00170F1D">
        <w:t>,</w:t>
      </w:r>
      <w:r w:rsidR="006B380A" w:rsidRPr="00582FB2">
        <w:t>00 eura (</w:t>
      </w:r>
      <w:r w:rsidR="003A5AE7">
        <w:t>4</w:t>
      </w:r>
      <w:r w:rsidR="00170F1D">
        <w:t>.</w:t>
      </w:r>
      <w:r w:rsidR="003A5AE7">
        <w:t>520</w:t>
      </w:r>
      <w:r w:rsidR="00170F1D">
        <w:t>,</w:t>
      </w:r>
      <w:r w:rsidR="003A5AE7">
        <w:t>70</w:t>
      </w:r>
      <w:r w:rsidR="006B380A" w:rsidRPr="00582FB2">
        <w:t xml:space="preserve"> kn). </w:t>
      </w:r>
      <w:r w:rsidR="00BF2261" w:rsidRPr="00582FB2">
        <w:t xml:space="preserve"> </w:t>
      </w:r>
    </w:p>
    <w:p w14:paraId="1C2C0802" w14:textId="14B19C1B" w:rsidR="00BF2261" w:rsidRDefault="00BF2261" w:rsidP="003D76F3">
      <w:pPr>
        <w:jc w:val="both"/>
      </w:pPr>
    </w:p>
    <w:p w14:paraId="5292B01C" w14:textId="58434886" w:rsidR="00765D7D" w:rsidRDefault="00CC3C89" w:rsidP="003D76F3">
      <w:pPr>
        <w:jc w:val="both"/>
      </w:pPr>
      <w:r>
        <w:t xml:space="preserve">Javna ustanova Garešnica teži prema zapošljavanju i osposobljavanju zaposlenih. U 2023. godini, predviđa se zapošljavanje jednog djelatnika za obavljanje administrativnih poslova i poslova recepcije. </w:t>
      </w:r>
    </w:p>
    <w:p w14:paraId="32B12767" w14:textId="77777777" w:rsidR="00BC2639" w:rsidRPr="0070292C" w:rsidRDefault="00BC2639" w:rsidP="0070292C">
      <w:pPr>
        <w:rPr>
          <w:b/>
          <w:bCs/>
        </w:rPr>
      </w:pPr>
    </w:p>
    <w:p w14:paraId="65CF8984" w14:textId="77777777" w:rsidR="00F53AAE" w:rsidRPr="001207FC" w:rsidRDefault="00F53AAE" w:rsidP="00F53AAE">
      <w:pPr>
        <w:pStyle w:val="Odlomakpopisa"/>
        <w:numPr>
          <w:ilvl w:val="0"/>
          <w:numId w:val="1"/>
        </w:numPr>
        <w:rPr>
          <w:b/>
          <w:bCs/>
        </w:rPr>
      </w:pPr>
      <w:r>
        <w:rPr>
          <w:b/>
          <w:bCs/>
        </w:rPr>
        <w:t>Poseban dio financijskog plana</w:t>
      </w:r>
    </w:p>
    <w:p w14:paraId="5E1B628A" w14:textId="77777777" w:rsidR="00F53AAE" w:rsidRDefault="00F53AAE" w:rsidP="00F53AAE">
      <w:pPr>
        <w:jc w:val="center"/>
      </w:pPr>
    </w:p>
    <w:p w14:paraId="2D68E5D2" w14:textId="0795BD68" w:rsidR="008707CC" w:rsidRDefault="006E6FDE" w:rsidP="006E6FDE">
      <w:r w:rsidRPr="00870EF6">
        <w:rPr>
          <w:u w:val="single"/>
        </w:rPr>
        <w:t>NAZIV PROGRAMA</w:t>
      </w:r>
      <w:r>
        <w:t>: Upravljanje Centrom za posjetitelje Natura 2000</w:t>
      </w:r>
    </w:p>
    <w:p w14:paraId="168FE9DE" w14:textId="1F3F3AED" w:rsidR="006E6FDE" w:rsidRDefault="006E6FDE" w:rsidP="006E6FDE"/>
    <w:p w14:paraId="1C93AD84" w14:textId="52AC6D09" w:rsidR="005029BB" w:rsidRDefault="00870EF6" w:rsidP="00106FE8">
      <w:pPr>
        <w:jc w:val="both"/>
      </w:pPr>
      <w:r w:rsidRPr="00870EF6">
        <w:rPr>
          <w:u w:val="single"/>
        </w:rPr>
        <w:t>SVRHA PROGRAMA</w:t>
      </w:r>
      <w:r w:rsidRPr="00870EF6">
        <w:t>:</w:t>
      </w:r>
      <w:r>
        <w:t xml:space="preserve"> </w:t>
      </w:r>
      <w:r w:rsidR="00F27C46">
        <w:t>Program je usmjeren na posjetitelje</w:t>
      </w:r>
      <w:r w:rsidR="006D1462">
        <w:t xml:space="preserve"> i pružanje informacija o ugroženim i zaštićenim biljnim i životinjskim vrstama na području Poilovlja. Svrha je promovirati i raširiti svijest o bioraznolikosti, o</w:t>
      </w:r>
      <w:r w:rsidR="005029BB">
        <w:t xml:space="preserve"> značaju</w:t>
      </w:r>
      <w:r w:rsidR="006D1462">
        <w:t xml:space="preserve"> ekološk</w:t>
      </w:r>
      <w:r w:rsidR="005029BB">
        <w:t>e</w:t>
      </w:r>
      <w:r w:rsidR="006D1462">
        <w:t xml:space="preserve"> mrež</w:t>
      </w:r>
      <w:r w:rsidR="005029BB">
        <w:t>e</w:t>
      </w:r>
      <w:r w:rsidR="006D1462">
        <w:t xml:space="preserve"> Natura 2000, te o važnosti očuvanja prirodne baštine i okoliša ovog područja. </w:t>
      </w:r>
      <w:r w:rsidR="005029BB">
        <w:t>Uspostavom upravljanja i poslovanjem unapređuje se sveukupna turistička ponuda, s</w:t>
      </w:r>
      <w:r w:rsidR="005029BB" w:rsidRPr="005029BB">
        <w:t>tvara</w:t>
      </w:r>
      <w:r w:rsidR="005029BB">
        <w:t>ju se</w:t>
      </w:r>
      <w:r w:rsidR="005029BB" w:rsidRPr="005029BB">
        <w:t xml:space="preserve"> konkurentni i diferencirani turistički proizvod</w:t>
      </w:r>
      <w:r w:rsidR="005029BB">
        <w:t xml:space="preserve">i. </w:t>
      </w:r>
      <w:r w:rsidR="005029BB" w:rsidRPr="005029BB">
        <w:t>Okviri u kojem se stvaraju turistički proizvodi odnosno ponuda Javne ustanove Garešnica temelj</w:t>
      </w:r>
      <w:r w:rsidR="009E2EF6">
        <w:t>e</w:t>
      </w:r>
      <w:r w:rsidR="005029BB" w:rsidRPr="005029BB">
        <w:t xml:space="preserve"> se prema specijaliziranim oblicima turizma i motivima turista koji postaju sve više definirani i izraženi. Stvaranje sadržaja se usmjerava prema „modernom turistu“ koji traži doživljaj, prirodu, mirno okruženje, znanje, interaktivn</w:t>
      </w:r>
      <w:r w:rsidR="009E2EF6">
        <w:t>e</w:t>
      </w:r>
      <w:r w:rsidR="005029BB" w:rsidRPr="005029BB">
        <w:t xml:space="preserve"> edukacij</w:t>
      </w:r>
      <w:r w:rsidR="009E2EF6">
        <w:t xml:space="preserve">e </w:t>
      </w:r>
      <w:r w:rsidR="009E2EF6">
        <w:lastRenderedPageBreak/>
        <w:t xml:space="preserve">i radionice. </w:t>
      </w:r>
      <w:r w:rsidR="00106FE8">
        <w:t>Uspostavljanjem</w:t>
      </w:r>
      <w:r w:rsidR="00106FE8" w:rsidRPr="00106FE8">
        <w:t xml:space="preserve"> administrativnih i financijskih kapaciteta </w:t>
      </w:r>
      <w:r w:rsidR="00106FE8">
        <w:t>JU Garešnica</w:t>
      </w:r>
      <w:r w:rsidR="00106FE8" w:rsidRPr="00106FE8">
        <w:t xml:space="preserve"> te </w:t>
      </w:r>
      <w:r w:rsidR="00106FE8">
        <w:t>redovnom</w:t>
      </w:r>
      <w:r w:rsidR="00106FE8" w:rsidRPr="00106FE8">
        <w:t xml:space="preserve"> suradnj</w:t>
      </w:r>
      <w:r w:rsidR="00106FE8">
        <w:t>om</w:t>
      </w:r>
      <w:r w:rsidR="00106FE8" w:rsidRPr="00106FE8">
        <w:t xml:space="preserve"> s tijelima institucija na državnoj, županijskoj i lokaln</w:t>
      </w:r>
      <w:r w:rsidR="00106FE8">
        <w:t>oj</w:t>
      </w:r>
      <w:r w:rsidR="00106FE8" w:rsidRPr="00106FE8">
        <w:t xml:space="preserve"> razin</w:t>
      </w:r>
      <w:r w:rsidR="00106FE8">
        <w:t>i</w:t>
      </w:r>
      <w:r w:rsidR="00106FE8" w:rsidRPr="00106FE8">
        <w:t xml:space="preserve">, </w:t>
      </w:r>
      <w:r w:rsidR="00106FE8">
        <w:t xml:space="preserve">privatnim društvima i dionicima u turizmu, stručnim suradnicima, </w:t>
      </w:r>
      <w:r w:rsidR="00106FE8" w:rsidRPr="00106FE8">
        <w:t xml:space="preserve">članstvom i suradnjom u međunarodnim nacionalnim organizacijama stvaraju se preduvjeti za </w:t>
      </w:r>
      <w:r w:rsidR="00DF370C">
        <w:t xml:space="preserve">buduće </w:t>
      </w:r>
      <w:r w:rsidR="00106FE8">
        <w:t>uspješno poslovanje i ispunjavanje ciljeva. Sveukupno, p</w:t>
      </w:r>
      <w:r w:rsidR="005029BB" w:rsidRPr="005029BB">
        <w:t>omaže u stvaranju pozitivnih trendova pozicioniranja grada Garešnice na domaćem i inozemnom turističkom tržištu</w:t>
      </w:r>
      <w:r w:rsidR="00106FE8">
        <w:t xml:space="preserve">. </w:t>
      </w:r>
    </w:p>
    <w:p w14:paraId="51EBF0BA" w14:textId="5492DA09" w:rsidR="005029BB" w:rsidRDefault="005029BB" w:rsidP="00870EF6"/>
    <w:p w14:paraId="20C3658F" w14:textId="6B40F418" w:rsidR="005062D9" w:rsidRDefault="005062D9" w:rsidP="00870EF6">
      <w:r w:rsidRPr="005062D9">
        <w:t xml:space="preserve">Aktivnosti Javne ustanove </w:t>
      </w:r>
      <w:r w:rsidR="00722F49">
        <w:t xml:space="preserve">se </w:t>
      </w:r>
      <w:r w:rsidRPr="005062D9">
        <w:t>oblik</w:t>
      </w:r>
      <w:r w:rsidR="00722F49">
        <w:t>uju</w:t>
      </w:r>
      <w:r w:rsidRPr="005062D9">
        <w:t xml:space="preserve"> prema registriranim djelatnostima</w:t>
      </w:r>
      <w:r w:rsidR="00722F49">
        <w:t>, promociji, prodaji</w:t>
      </w:r>
      <w:r w:rsidRPr="005062D9">
        <w:t xml:space="preserve"> </w:t>
      </w:r>
      <w:r w:rsidR="00722F49">
        <w:t xml:space="preserve">te se </w:t>
      </w:r>
      <w:r w:rsidRPr="005062D9">
        <w:t>razvija</w:t>
      </w:r>
      <w:r w:rsidR="00722F49">
        <w:t xml:space="preserve">ju </w:t>
      </w:r>
      <w:r w:rsidRPr="005062D9">
        <w:t>u smjeru selektivnih oblika turizma.</w:t>
      </w:r>
      <w:r>
        <w:t xml:space="preserve"> </w:t>
      </w:r>
    </w:p>
    <w:p w14:paraId="27A6733B" w14:textId="34A367E7" w:rsidR="00722F49" w:rsidRDefault="009F4E21" w:rsidP="0026484F">
      <w:r>
        <w:t xml:space="preserve">Program se provodi kroz nekoliko </w:t>
      </w:r>
      <w:r w:rsidR="00D418BD">
        <w:t>usko povezanih</w:t>
      </w:r>
      <w:r>
        <w:t xml:space="preserve"> aktivnosti:</w:t>
      </w:r>
    </w:p>
    <w:p w14:paraId="149C3C67" w14:textId="7F168D9E" w:rsidR="0026484F" w:rsidRDefault="0026484F" w:rsidP="00722F49">
      <w:pPr>
        <w:pStyle w:val="Odlomakpopisa"/>
        <w:numPr>
          <w:ilvl w:val="0"/>
          <w:numId w:val="6"/>
        </w:numPr>
      </w:pPr>
      <w:r>
        <w:t xml:space="preserve">Uspostava i nadogradnja digitalnih alata </w:t>
      </w:r>
    </w:p>
    <w:p w14:paraId="2898ACCA" w14:textId="13934A76" w:rsidR="00722F49" w:rsidRPr="00722F49" w:rsidRDefault="00722F49" w:rsidP="00722F49">
      <w:pPr>
        <w:pStyle w:val="Odlomakpopisa"/>
        <w:numPr>
          <w:ilvl w:val="0"/>
          <w:numId w:val="6"/>
        </w:numPr>
      </w:pPr>
      <w:r w:rsidRPr="00722F49">
        <w:t>Pružanje usluga u turizmu i turističke aktivnosti</w:t>
      </w:r>
    </w:p>
    <w:p w14:paraId="40616FB5" w14:textId="2E76BE28" w:rsidR="00722F49" w:rsidRPr="00722F49" w:rsidRDefault="00722F49" w:rsidP="00722F49">
      <w:pPr>
        <w:pStyle w:val="Odlomakpopisa"/>
        <w:numPr>
          <w:ilvl w:val="0"/>
          <w:numId w:val="6"/>
        </w:numPr>
      </w:pPr>
      <w:r>
        <w:t>P</w:t>
      </w:r>
      <w:r w:rsidRPr="00722F49">
        <w:t>romidžba i marketing</w:t>
      </w:r>
    </w:p>
    <w:p w14:paraId="27E79D0F" w14:textId="75E34BD3" w:rsidR="009F4E21" w:rsidRDefault="00722F49" w:rsidP="009F4E21">
      <w:pPr>
        <w:pStyle w:val="Odlomakpopisa"/>
        <w:numPr>
          <w:ilvl w:val="0"/>
          <w:numId w:val="6"/>
        </w:numPr>
      </w:pPr>
      <w:r>
        <w:t>Aktivnosti događanja</w:t>
      </w:r>
    </w:p>
    <w:p w14:paraId="2BE0DF78" w14:textId="39CF670B" w:rsidR="00722F49" w:rsidRDefault="00722F49" w:rsidP="009F4E21">
      <w:pPr>
        <w:pStyle w:val="Odlomakpopisa"/>
        <w:numPr>
          <w:ilvl w:val="0"/>
          <w:numId w:val="6"/>
        </w:numPr>
      </w:pPr>
      <w:bookmarkStart w:id="0" w:name="_Hlk116579693"/>
      <w:r>
        <w:t xml:space="preserve">Prodaja </w:t>
      </w:r>
      <w:r w:rsidR="00046A43">
        <w:t>i iznajmljivanje</w:t>
      </w:r>
    </w:p>
    <w:bookmarkEnd w:id="0"/>
    <w:p w14:paraId="0934E7AB" w14:textId="3821271C" w:rsidR="0026484F" w:rsidRDefault="0026484F" w:rsidP="0026484F"/>
    <w:p w14:paraId="6AE63CDA" w14:textId="0B65CA04" w:rsidR="0026484F" w:rsidRDefault="009E433B" w:rsidP="0026484F">
      <w:r w:rsidRPr="00323B3F">
        <w:t>Opis k</w:t>
      </w:r>
      <w:r w:rsidR="0026484F" w:rsidRPr="00323B3F">
        <w:t>ljučn</w:t>
      </w:r>
      <w:r w:rsidRPr="00323B3F">
        <w:t>ih</w:t>
      </w:r>
      <w:r w:rsidR="0026484F" w:rsidRPr="00323B3F">
        <w:t xml:space="preserve"> aktivnosti</w:t>
      </w:r>
      <w:r w:rsidR="00323B3F">
        <w:t>:</w:t>
      </w:r>
      <w:r w:rsidRPr="00323B3F">
        <w:t xml:space="preserve"> </w:t>
      </w:r>
    </w:p>
    <w:p w14:paraId="6D2FD9B6" w14:textId="77777777" w:rsidR="001B4D32" w:rsidRDefault="0026484F" w:rsidP="001B4D32">
      <w:pPr>
        <w:pStyle w:val="Odlomakpopisa"/>
        <w:numPr>
          <w:ilvl w:val="0"/>
          <w:numId w:val="7"/>
        </w:numPr>
        <w:jc w:val="both"/>
      </w:pPr>
      <w:r>
        <w:t>Uspostava i nadogradnja digitalnih alata</w:t>
      </w:r>
      <w:r w:rsidR="001B4D32">
        <w:t xml:space="preserve"> </w:t>
      </w:r>
    </w:p>
    <w:p w14:paraId="2AEFF997" w14:textId="6455F1C7" w:rsidR="001B4D32" w:rsidRDefault="001B4D32" w:rsidP="001B4D32">
      <w:pPr>
        <w:pStyle w:val="Odlomakpopisa"/>
        <w:jc w:val="both"/>
      </w:pPr>
      <w:r>
        <w:t xml:space="preserve">Potrebna je nabava i kupnja različitih digitalnih alata kojima bi se služili pri izvođenju turističkih i edukativnih radionica. Planira se izrada animiranog filma za djecu s temom biljnog i životinjskog svijeta Poilovlja, izrada vizualnog i zvukovnog prikaza glasanja ptica koje se nalaze na ovom području te izrada interaktivnih aplikacija i igara s temom bioraznolikosti Poilovlja.  </w:t>
      </w:r>
      <w:r w:rsidRPr="001B4D32">
        <w:t xml:space="preserve">U skladu s financijskim sredstvima, ove aktivnosti provodit će se </w:t>
      </w:r>
      <w:r>
        <w:t>isključivo u suradnji sa stručnim i</w:t>
      </w:r>
      <w:r w:rsidRPr="001B4D32">
        <w:t xml:space="preserve">  vanjskim suradnicima.</w:t>
      </w:r>
    </w:p>
    <w:p w14:paraId="09E81880" w14:textId="67BF24B4" w:rsidR="0026484F" w:rsidRDefault="0026484F" w:rsidP="001B4D32">
      <w:pPr>
        <w:pStyle w:val="Odlomakpopisa"/>
        <w:numPr>
          <w:ilvl w:val="0"/>
          <w:numId w:val="7"/>
        </w:numPr>
      </w:pPr>
      <w:r>
        <w:t>Pružanje usluga u turizmu i turističke aktivnosti</w:t>
      </w:r>
    </w:p>
    <w:p w14:paraId="25BCF4B4" w14:textId="00BAD16C" w:rsidR="0026484F" w:rsidRDefault="00046A43" w:rsidP="00737427">
      <w:pPr>
        <w:pStyle w:val="Odlomakpopisa"/>
        <w:jc w:val="both"/>
      </w:pPr>
      <w:r>
        <w:t>Ova aktivnost sadrži niz radnji koje su usmjerene na posjetitelje. Podrazumijeva: pripovjedno vođenje kroz Centar za posjetitelje,  o</w:t>
      </w:r>
      <w:r w:rsidRPr="00046A43">
        <w:t>rganizacij</w:t>
      </w:r>
      <w:r>
        <w:t>u</w:t>
      </w:r>
      <w:r w:rsidRPr="00046A43">
        <w:t xml:space="preserve"> i izvođenje škole u prirodi zaštićenog područja Natura 2000 – Poilovlja</w:t>
      </w:r>
      <w:r>
        <w:t>, o</w:t>
      </w:r>
      <w:r w:rsidRPr="00046A43">
        <w:t>rganizacij</w:t>
      </w:r>
      <w:r>
        <w:t>u</w:t>
      </w:r>
      <w:r w:rsidRPr="00046A43">
        <w:t xml:space="preserve"> </w:t>
      </w:r>
      <w:r>
        <w:t xml:space="preserve">i izvođenje </w:t>
      </w:r>
      <w:r w:rsidRPr="00046A43">
        <w:t xml:space="preserve">edukativnih </w:t>
      </w:r>
      <w:r>
        <w:t xml:space="preserve">turističkih programa </w:t>
      </w:r>
      <w:r w:rsidRPr="00046A43">
        <w:t>na informativno - edukativnim punktovima "</w:t>
      </w:r>
      <w:proofErr w:type="spellStart"/>
      <w:r w:rsidRPr="00046A43">
        <w:t>Kaniška</w:t>
      </w:r>
      <w:proofErr w:type="spellEnd"/>
      <w:r w:rsidRPr="00046A43">
        <w:t xml:space="preserve"> Iva" i "</w:t>
      </w:r>
      <w:proofErr w:type="spellStart"/>
      <w:r w:rsidRPr="00046A43">
        <w:t>Pepeljni</w:t>
      </w:r>
      <w:proofErr w:type="spellEnd"/>
      <w:r w:rsidRPr="00046A43">
        <w:t xml:space="preserve"> vrtovi" te edukativno - tematskoj stazi "Poilovlje"</w:t>
      </w:r>
      <w:r>
        <w:t>, o</w:t>
      </w:r>
      <w:r w:rsidRPr="00046A43">
        <w:t>rganizacij</w:t>
      </w:r>
      <w:r>
        <w:t>u</w:t>
      </w:r>
      <w:r w:rsidRPr="00046A43">
        <w:t xml:space="preserve"> edukativnih radionica vezanih za prirodnu baštinu Poilovlja</w:t>
      </w:r>
      <w:r>
        <w:t xml:space="preserve">, galerijsko-izložbene aktivnosti te </w:t>
      </w:r>
      <w:r w:rsidRPr="00046A43">
        <w:t>organizaciju različitih prigodnih događanja</w:t>
      </w:r>
      <w:r w:rsidR="004C7EA7">
        <w:t xml:space="preserve">. </w:t>
      </w:r>
      <w:r w:rsidR="00A714C5">
        <w:t>S ciljem povećanja znanja i dostupnosti podataka, JU Garešnica planira samostalno i u suradnji s</w:t>
      </w:r>
      <w:r w:rsidR="00737427">
        <w:t xml:space="preserve"> </w:t>
      </w:r>
      <w:r w:rsidR="00A714C5">
        <w:t xml:space="preserve">vanjskim suradnicima provesti navedene različite tematske radionice i turističke aktivnosti. </w:t>
      </w:r>
    </w:p>
    <w:p w14:paraId="52174109" w14:textId="0C72C794" w:rsidR="00A714C5" w:rsidRDefault="00A714C5" w:rsidP="00A714C5">
      <w:pPr>
        <w:pStyle w:val="Odlomakpopisa"/>
        <w:numPr>
          <w:ilvl w:val="0"/>
          <w:numId w:val="7"/>
        </w:numPr>
        <w:jc w:val="both"/>
      </w:pPr>
      <w:r>
        <w:t>Promidžba i marketing</w:t>
      </w:r>
    </w:p>
    <w:p w14:paraId="788C6CB1" w14:textId="75EA80E4" w:rsidR="00A714C5" w:rsidRDefault="00A714C5" w:rsidP="00800321">
      <w:pPr>
        <w:pStyle w:val="Odlomakpopisa"/>
        <w:jc w:val="both"/>
      </w:pPr>
      <w:r w:rsidRPr="00A714C5">
        <w:t xml:space="preserve">Svrha svih marketinških aktivnosti je zadovoljenje potreba posjetitelja. Pomaže u kontinuiranom stvaranju motivacije dolazaka novih gostiju. </w:t>
      </w:r>
      <w:r w:rsidR="00800321" w:rsidRPr="00800321">
        <w:t>Promocijom će se označiti pozicioniranje područja Poilovlja na domaćem i inozemnom turističkom tržištu</w:t>
      </w:r>
      <w:r w:rsidR="00800321">
        <w:t xml:space="preserve">. </w:t>
      </w:r>
      <w:r w:rsidRPr="00A714C5">
        <w:t xml:space="preserve">Obzirom da </w:t>
      </w:r>
      <w:r>
        <w:t>je u tijeku prva godina poslovanja JU Garešnica, za početak</w:t>
      </w:r>
      <w:r w:rsidRPr="00A714C5">
        <w:t xml:space="preserve">, potrebno je voditi brigu o </w:t>
      </w:r>
      <w:r w:rsidR="00800321" w:rsidRPr="00800321">
        <w:t>razvoj</w:t>
      </w:r>
      <w:r w:rsidR="00800321">
        <w:t>u</w:t>
      </w:r>
      <w:r w:rsidR="00800321" w:rsidRPr="00800321">
        <w:t xml:space="preserve"> offline i online komunikacijsk</w:t>
      </w:r>
      <w:r w:rsidR="00800321">
        <w:t>ih</w:t>
      </w:r>
      <w:r w:rsidR="00800321" w:rsidRPr="00800321">
        <w:t xml:space="preserve"> alat</w:t>
      </w:r>
      <w:r w:rsidR="00800321">
        <w:t>a</w:t>
      </w:r>
      <w:r w:rsidR="00800321" w:rsidRPr="00800321">
        <w:t xml:space="preserve"> s većim fokusom na online alatima. </w:t>
      </w:r>
      <w:r w:rsidR="00FF238F">
        <w:t xml:space="preserve">Offline komunikacijski alati podrazumijevaju tisak letaka i brošura. Pri odabiru materijala, pokušat će se iskoristiti reciklirani papir. </w:t>
      </w:r>
      <w:r w:rsidR="00800321" w:rsidRPr="00800321">
        <w:t>Uz marketing kampanje i promociju</w:t>
      </w:r>
      <w:r w:rsidR="00800321">
        <w:t xml:space="preserve"> u</w:t>
      </w:r>
      <w:r w:rsidR="00800321" w:rsidRPr="00800321">
        <w:t xml:space="preserve"> časopisima potrebn</w:t>
      </w:r>
      <w:r w:rsidR="00800321">
        <w:t>o</w:t>
      </w:r>
      <w:r w:rsidR="00800321" w:rsidRPr="00800321">
        <w:t xml:space="preserve"> je </w:t>
      </w:r>
      <w:r w:rsidR="00800321">
        <w:t>održavanje</w:t>
      </w:r>
      <w:r w:rsidR="00800321" w:rsidRPr="00800321">
        <w:t xml:space="preserve"> web stranice, prilagođene za pretraživanje na mobilnim uređajima (s definiranjem snažnog SEO alata koji će pomoći u vidljivosti usluga i aktivnosti Centra prema motivima pretraživanja i ključnim riječima – fokus na gostu). Zatim je svakako </w:t>
      </w:r>
      <w:r w:rsidR="00FF238F" w:rsidRPr="00800321">
        <w:t>potrebn</w:t>
      </w:r>
      <w:r w:rsidR="00FF238F">
        <w:t xml:space="preserve">a dizajn </w:t>
      </w:r>
      <w:r w:rsidR="00FF238F" w:rsidRPr="00FF238F">
        <w:t>e-letak</w:t>
      </w:r>
      <w:r w:rsidR="00FF238F">
        <w:t>a,</w:t>
      </w:r>
      <w:r w:rsidR="00800321" w:rsidRPr="00800321">
        <w:t xml:space="preserve"> otvaranje i održavanje zanimljivih sadržaja na društvenim mrežama (Facebook: live prijenosi, story, kratki video uradci, fotografije, objavljivanje novosti), otvaranje Instagram računa (održavanje i redovita objava fotografija, live prijenosa, </w:t>
      </w:r>
      <w:proofErr w:type="spellStart"/>
      <w:r w:rsidR="00800321" w:rsidRPr="00800321">
        <w:t>storya</w:t>
      </w:r>
      <w:proofErr w:type="spellEnd"/>
      <w:r w:rsidR="00800321" w:rsidRPr="00800321">
        <w:t xml:space="preserve">, kratkih video uradaka, novosti), te je poželjno otvaranje i održavanje </w:t>
      </w:r>
      <w:proofErr w:type="spellStart"/>
      <w:r w:rsidR="00800321" w:rsidRPr="00800321">
        <w:t>Youtube</w:t>
      </w:r>
      <w:proofErr w:type="spellEnd"/>
      <w:r w:rsidR="00800321" w:rsidRPr="00800321">
        <w:t xml:space="preserve"> kanala te </w:t>
      </w:r>
      <w:proofErr w:type="spellStart"/>
      <w:r w:rsidR="00800321" w:rsidRPr="00800321">
        <w:t>TikToka</w:t>
      </w:r>
      <w:proofErr w:type="spellEnd"/>
      <w:r w:rsidR="00800321" w:rsidRPr="00800321">
        <w:t>.</w:t>
      </w:r>
      <w:r w:rsidR="00800321">
        <w:t xml:space="preserve"> </w:t>
      </w:r>
      <w:r>
        <w:t xml:space="preserve">U skladu s raspoloživim kapacitetima i financijskim sredstvima, ove aktivnosti provodit će se u većem dijelu s vanjskim suradnicima. </w:t>
      </w:r>
    </w:p>
    <w:p w14:paraId="4C9E6C17" w14:textId="77777777" w:rsidR="006C2AF9" w:rsidRPr="006C2AF9" w:rsidRDefault="006C2AF9" w:rsidP="006C2AF9">
      <w:pPr>
        <w:pStyle w:val="Odlomakpopisa"/>
        <w:numPr>
          <w:ilvl w:val="0"/>
          <w:numId w:val="7"/>
        </w:numPr>
      </w:pPr>
      <w:r w:rsidRPr="006C2AF9">
        <w:t>Aktivnosti događanja</w:t>
      </w:r>
    </w:p>
    <w:p w14:paraId="5F03EED8" w14:textId="47A668FB" w:rsidR="006C2AF9" w:rsidRDefault="006C2AF9" w:rsidP="00E26BBC">
      <w:pPr>
        <w:pStyle w:val="Odlomakpopisa"/>
        <w:jc w:val="both"/>
      </w:pPr>
      <w:r>
        <w:lastRenderedPageBreak/>
        <w:t xml:space="preserve">Aktivnosti događanja odnose se na organizaciju različitih prigodnih manifestacija i radionica. Kroz cijelu godinu, svaki mjesec, obilježavaju se dani povezani sa zaštitom prirode poput Dan planeta zemlja, Svjetski dan biološke raznolikosti, Dan zaštite prirode RH, Europski dan parkova. Aktivnosti događanja usmjerene su na tematsko događanje, obilježavanje značajnog dana </w:t>
      </w:r>
      <w:r w:rsidR="00E26BBC">
        <w:t xml:space="preserve">namjeni lokalnoj </w:t>
      </w:r>
      <w:r>
        <w:t>i šir</w:t>
      </w:r>
      <w:r w:rsidR="00E26BBC">
        <w:t>oj</w:t>
      </w:r>
      <w:r>
        <w:t xml:space="preserve"> publi</w:t>
      </w:r>
      <w:r w:rsidR="00E26BBC">
        <w:t>ci</w:t>
      </w:r>
      <w:r>
        <w:t>, djec</w:t>
      </w:r>
      <w:r w:rsidR="00E26BBC">
        <w:t>i</w:t>
      </w:r>
      <w:r>
        <w:t>, obitelji</w:t>
      </w:r>
      <w:r w:rsidR="00E26BBC">
        <w:t>ma</w:t>
      </w:r>
      <w:r>
        <w:t>, individualn</w:t>
      </w:r>
      <w:r w:rsidR="00E26BBC">
        <w:t>im</w:t>
      </w:r>
      <w:r>
        <w:t xml:space="preserve"> posjetitelj</w:t>
      </w:r>
      <w:r w:rsidR="00E26BBC">
        <w:t>ima</w:t>
      </w:r>
      <w:r>
        <w:t xml:space="preserve"> s ciljem sudjelovanja, interakcije, edukacije i zabav</w:t>
      </w:r>
      <w:r w:rsidR="00E26BBC">
        <w:t>e</w:t>
      </w:r>
      <w:r>
        <w:t xml:space="preserve">. Realiziranje </w:t>
      </w:r>
      <w:r w:rsidR="00E26BBC">
        <w:t xml:space="preserve">ovih </w:t>
      </w:r>
      <w:r>
        <w:t>aktivnosti ujedno odgovara nacionalnom dokumentu Strategiji razvoja održivog turizma do 2030. godine u kojem se ističu prioriteti razvoja održivog, inovativnog i otpornog turizma. Područje Poilovlja ima sve potrebne resurse za ostvarenjem navedenih prioriteta zbog svoje postojeće atraktivnosti područja, posebno naglašavajući prirodne resurse koji podliježu razvoju ekoturizma.</w:t>
      </w:r>
    </w:p>
    <w:p w14:paraId="4F2D84FC" w14:textId="77777777" w:rsidR="00FF238F" w:rsidRPr="00FF238F" w:rsidRDefault="00FF238F" w:rsidP="00FF238F">
      <w:pPr>
        <w:pStyle w:val="Odlomakpopisa"/>
        <w:numPr>
          <w:ilvl w:val="0"/>
          <w:numId w:val="7"/>
        </w:numPr>
      </w:pPr>
      <w:r w:rsidRPr="00FF238F">
        <w:t>Prodaja i iznajmljivanje</w:t>
      </w:r>
    </w:p>
    <w:p w14:paraId="1C9F2B18" w14:textId="5037EBA5" w:rsidR="00C633AD" w:rsidRDefault="00C633AD" w:rsidP="00C633AD">
      <w:pPr>
        <w:pStyle w:val="Odlomakpopisa"/>
        <w:jc w:val="both"/>
      </w:pPr>
      <w:r w:rsidRPr="00C633AD">
        <w:t xml:space="preserve">Centar za posjetitelje sadrži 14 prostorija koje su namijenjene za korištenje zaposlenika JU Garešnica i za korištenje posjetitelja. Prostorije koje su namijenjene za korištenje od strane posjetitelja, za promociju, edukaciju i druge aktivnosti su: multimedijalna konferencijska dvorana, predsoblje (recepcija, </w:t>
      </w:r>
      <w:proofErr w:type="spellStart"/>
      <w:r w:rsidRPr="00C633AD">
        <w:t>lobby</w:t>
      </w:r>
      <w:proofErr w:type="spellEnd"/>
      <w:r w:rsidRPr="00C633AD">
        <w:t>), multimedijalni izložbeni prostor, suvenirnica, multimedijalna učionica te laboratorij. Ostale prostorije služe kao uredi za zaposlene, čajna kuhinja, arhiva, tehničku prostoriju, prevođenje i sanitarni čvor.</w:t>
      </w:r>
      <w:r>
        <w:t xml:space="preserve"> </w:t>
      </w:r>
      <w:r w:rsidR="00D20A7C">
        <w:t>Tijekom 202</w:t>
      </w:r>
      <w:r>
        <w:t>3</w:t>
      </w:r>
      <w:r w:rsidR="00D20A7C">
        <w:t xml:space="preserve">. </w:t>
      </w:r>
      <w:r>
        <w:t xml:space="preserve">godine, multimedijalna dvorana i učionica stoje na raspolaganju za iznajmljivanje u svrhu održavanja različitih predavanja, prezentacija, promocija, sastanaka i sličnih aktivnosti. Također, edukativni laboratorij s mikroskopima i opremom, dostupan je za iznajmljivanje u svrhu van nastavne edukacije. Za samostalno istraživanje biljnog i životinjskog svijeta Poilovlja, su bicikli, dalekozori, teleskop i čamci za iznajmljivanje. Ova aktivnost će pomoći pri ostvarivanju vlastitih prihoda koji će se dalje usmjeravati na održavanje opreme i sadržaja u Centru. </w:t>
      </w:r>
    </w:p>
    <w:p w14:paraId="6BEE6F9C" w14:textId="77777777" w:rsidR="00C633AD" w:rsidRDefault="00C633AD" w:rsidP="00C633AD">
      <w:pPr>
        <w:pStyle w:val="Odlomakpopisa"/>
        <w:jc w:val="both"/>
      </w:pPr>
    </w:p>
    <w:p w14:paraId="2980342F" w14:textId="77777777" w:rsidR="00C34160" w:rsidRPr="00C34160" w:rsidRDefault="00C34160" w:rsidP="00C34160">
      <w:pPr>
        <w:jc w:val="both"/>
      </w:pPr>
      <w:r w:rsidRPr="00C34160">
        <w:t>Centar će služiti široj javnosti, svim dobnim skupinama te pokušati zadovoljiti razne motive dolazaka na područje Poilovlja. Ciljane skupine prema aktivnostima su:</w:t>
      </w:r>
    </w:p>
    <w:p w14:paraId="365EC0BF" w14:textId="77777777" w:rsidR="00C34160" w:rsidRPr="00C34160" w:rsidRDefault="00C34160" w:rsidP="00C34160">
      <w:pPr>
        <w:numPr>
          <w:ilvl w:val="0"/>
          <w:numId w:val="8"/>
        </w:numPr>
        <w:ind w:left="1134"/>
        <w:jc w:val="both"/>
      </w:pPr>
      <w:r w:rsidRPr="00C34160">
        <w:t xml:space="preserve">Školske grupe </w:t>
      </w:r>
    </w:p>
    <w:p w14:paraId="6C1538C6" w14:textId="77777777" w:rsidR="00C34160" w:rsidRPr="00C34160" w:rsidRDefault="00C34160" w:rsidP="00C34160">
      <w:pPr>
        <w:numPr>
          <w:ilvl w:val="0"/>
          <w:numId w:val="8"/>
        </w:numPr>
        <w:ind w:left="1134"/>
        <w:jc w:val="both"/>
      </w:pPr>
      <w:r w:rsidRPr="00C34160">
        <w:t>Lokalne, regionalne i nacionalne udruge, udruženja, zajednice</w:t>
      </w:r>
    </w:p>
    <w:p w14:paraId="052FF886" w14:textId="77777777" w:rsidR="00C34160" w:rsidRPr="00C34160" w:rsidRDefault="00C34160" w:rsidP="00C34160">
      <w:pPr>
        <w:numPr>
          <w:ilvl w:val="0"/>
          <w:numId w:val="8"/>
        </w:numPr>
        <w:ind w:left="1134"/>
        <w:jc w:val="both"/>
      </w:pPr>
      <w:r w:rsidRPr="00C34160">
        <w:t xml:space="preserve">Privatna trgovačka društva i obrti </w:t>
      </w:r>
    </w:p>
    <w:p w14:paraId="1C5DD212" w14:textId="77777777" w:rsidR="00C34160" w:rsidRPr="00C34160" w:rsidRDefault="00C34160" w:rsidP="00C34160">
      <w:pPr>
        <w:numPr>
          <w:ilvl w:val="0"/>
          <w:numId w:val="8"/>
        </w:numPr>
        <w:ind w:left="1134"/>
        <w:jc w:val="both"/>
      </w:pPr>
      <w:r w:rsidRPr="00C34160">
        <w:t>Individualni posjetitelji</w:t>
      </w:r>
    </w:p>
    <w:p w14:paraId="5650C884" w14:textId="77777777" w:rsidR="00C34160" w:rsidRPr="00C34160" w:rsidRDefault="00C34160" w:rsidP="00C34160">
      <w:pPr>
        <w:numPr>
          <w:ilvl w:val="0"/>
          <w:numId w:val="8"/>
        </w:numPr>
        <w:ind w:left="1134"/>
        <w:jc w:val="both"/>
      </w:pPr>
      <w:r w:rsidRPr="00C34160">
        <w:t>Obitelji s djecom</w:t>
      </w:r>
    </w:p>
    <w:p w14:paraId="7947EAE7" w14:textId="77777777" w:rsidR="00C34160" w:rsidRDefault="00C34160" w:rsidP="00C34160">
      <w:pPr>
        <w:numPr>
          <w:ilvl w:val="0"/>
          <w:numId w:val="8"/>
        </w:numPr>
        <w:ind w:left="1134"/>
        <w:jc w:val="both"/>
      </w:pPr>
      <w:r w:rsidRPr="00C34160">
        <w:t>Međunarodna udruženja, zadruge i poduzeća</w:t>
      </w:r>
    </w:p>
    <w:p w14:paraId="3C366B6D" w14:textId="05145D32" w:rsidR="00800321" w:rsidRDefault="00C34160" w:rsidP="00C34160">
      <w:pPr>
        <w:numPr>
          <w:ilvl w:val="0"/>
          <w:numId w:val="8"/>
        </w:numPr>
        <w:ind w:left="1134"/>
        <w:jc w:val="both"/>
      </w:pPr>
      <w:r w:rsidRPr="00C34160">
        <w:t>Turističke agencije</w:t>
      </w:r>
    </w:p>
    <w:p w14:paraId="39BB0D97" w14:textId="28420FED" w:rsidR="00501E5A" w:rsidRDefault="00501E5A" w:rsidP="00E9185D">
      <w:pPr>
        <w:jc w:val="both"/>
        <w:rPr>
          <w:highlight w:val="yellow"/>
        </w:rPr>
      </w:pPr>
    </w:p>
    <w:p w14:paraId="0969C95F" w14:textId="3A5F05EC" w:rsidR="003D79E3" w:rsidRDefault="003D79E3" w:rsidP="00E9185D">
      <w:pPr>
        <w:jc w:val="both"/>
        <w:rPr>
          <w:highlight w:val="yellow"/>
        </w:rPr>
      </w:pPr>
    </w:p>
    <w:p w14:paraId="6A73025A" w14:textId="592E2BCF" w:rsidR="003D79E3" w:rsidRDefault="003D79E3" w:rsidP="00E9185D">
      <w:pPr>
        <w:jc w:val="both"/>
        <w:rPr>
          <w:highlight w:val="yellow"/>
        </w:rPr>
      </w:pPr>
    </w:p>
    <w:p w14:paraId="5B537A5E" w14:textId="2C8A3DA5" w:rsidR="003D79E3" w:rsidRDefault="003D79E3" w:rsidP="00E9185D">
      <w:pPr>
        <w:jc w:val="both"/>
        <w:rPr>
          <w:highlight w:val="yellow"/>
        </w:rPr>
      </w:pPr>
    </w:p>
    <w:p w14:paraId="4E6BA015" w14:textId="11E927DD" w:rsidR="003D79E3" w:rsidRDefault="003D79E3" w:rsidP="00E9185D">
      <w:pPr>
        <w:jc w:val="both"/>
        <w:rPr>
          <w:highlight w:val="yellow"/>
        </w:rPr>
      </w:pPr>
    </w:p>
    <w:p w14:paraId="38AB01C8" w14:textId="13702DDA" w:rsidR="003D79E3" w:rsidRDefault="003D79E3" w:rsidP="00E9185D">
      <w:pPr>
        <w:jc w:val="both"/>
        <w:rPr>
          <w:highlight w:val="yellow"/>
        </w:rPr>
      </w:pPr>
    </w:p>
    <w:p w14:paraId="519BAFA7" w14:textId="5CAE80FE" w:rsidR="003D79E3" w:rsidRDefault="003D79E3" w:rsidP="00E9185D">
      <w:pPr>
        <w:jc w:val="both"/>
        <w:rPr>
          <w:highlight w:val="yellow"/>
        </w:rPr>
      </w:pPr>
    </w:p>
    <w:p w14:paraId="2D977C9F" w14:textId="2794AC44" w:rsidR="003D79E3" w:rsidRDefault="003D79E3" w:rsidP="00E9185D">
      <w:pPr>
        <w:jc w:val="both"/>
        <w:rPr>
          <w:highlight w:val="yellow"/>
        </w:rPr>
      </w:pPr>
    </w:p>
    <w:p w14:paraId="0DA171A4" w14:textId="05915841" w:rsidR="003D79E3" w:rsidRDefault="003D79E3" w:rsidP="00E9185D">
      <w:pPr>
        <w:jc w:val="both"/>
        <w:rPr>
          <w:highlight w:val="yellow"/>
        </w:rPr>
      </w:pPr>
    </w:p>
    <w:p w14:paraId="33F36784" w14:textId="1BD70BBF" w:rsidR="003D79E3" w:rsidRDefault="003D79E3" w:rsidP="00E9185D">
      <w:pPr>
        <w:jc w:val="both"/>
        <w:rPr>
          <w:highlight w:val="yellow"/>
        </w:rPr>
      </w:pPr>
    </w:p>
    <w:p w14:paraId="23EA5B3B" w14:textId="70BAACCA" w:rsidR="003D79E3" w:rsidRDefault="003D79E3" w:rsidP="00E9185D">
      <w:pPr>
        <w:jc w:val="both"/>
        <w:rPr>
          <w:highlight w:val="yellow"/>
        </w:rPr>
      </w:pPr>
    </w:p>
    <w:p w14:paraId="4483B0BA" w14:textId="0B1FA66A" w:rsidR="003D79E3" w:rsidRDefault="003D79E3" w:rsidP="00E9185D">
      <w:pPr>
        <w:jc w:val="both"/>
        <w:rPr>
          <w:highlight w:val="yellow"/>
        </w:rPr>
      </w:pPr>
    </w:p>
    <w:p w14:paraId="583FF7FD" w14:textId="291989B1" w:rsidR="003D79E3" w:rsidRDefault="003D79E3" w:rsidP="00E9185D">
      <w:pPr>
        <w:jc w:val="both"/>
        <w:rPr>
          <w:highlight w:val="yellow"/>
        </w:rPr>
      </w:pPr>
    </w:p>
    <w:p w14:paraId="53C40A8A" w14:textId="22D535AA" w:rsidR="003D79E3" w:rsidRDefault="003D79E3" w:rsidP="00E9185D">
      <w:pPr>
        <w:jc w:val="both"/>
        <w:rPr>
          <w:highlight w:val="yellow"/>
        </w:rPr>
      </w:pPr>
    </w:p>
    <w:p w14:paraId="687872F4" w14:textId="6FDEDD52" w:rsidR="003D79E3" w:rsidRDefault="003D79E3" w:rsidP="00E9185D">
      <w:pPr>
        <w:jc w:val="both"/>
        <w:rPr>
          <w:highlight w:val="yellow"/>
        </w:rPr>
      </w:pPr>
    </w:p>
    <w:p w14:paraId="53DD7518" w14:textId="71E1FF8B" w:rsidR="003D79E3" w:rsidRDefault="003D79E3" w:rsidP="00E9185D">
      <w:pPr>
        <w:jc w:val="both"/>
        <w:rPr>
          <w:highlight w:val="yellow"/>
        </w:rPr>
      </w:pPr>
    </w:p>
    <w:p w14:paraId="061571EF" w14:textId="7FC089CE" w:rsidR="003D79E3" w:rsidRDefault="003D79E3" w:rsidP="00E9185D">
      <w:pPr>
        <w:jc w:val="both"/>
        <w:rPr>
          <w:highlight w:val="yellow"/>
        </w:rPr>
      </w:pPr>
    </w:p>
    <w:p w14:paraId="18739594" w14:textId="253E1E6B" w:rsidR="003D79E3" w:rsidRDefault="003D79E3" w:rsidP="00E9185D">
      <w:pPr>
        <w:jc w:val="both"/>
        <w:rPr>
          <w:highlight w:val="yellow"/>
        </w:rPr>
      </w:pPr>
    </w:p>
    <w:p w14:paraId="5B21A591" w14:textId="77777777" w:rsidR="003D79E3" w:rsidRPr="00E9185D" w:rsidRDefault="003D79E3" w:rsidP="00E9185D">
      <w:pPr>
        <w:jc w:val="both"/>
        <w:rPr>
          <w:highlight w:val="yellow"/>
        </w:rPr>
      </w:pPr>
    </w:p>
    <w:p w14:paraId="2E7019C5" w14:textId="1D300A61" w:rsidR="004C7EA7" w:rsidRDefault="00737427" w:rsidP="00737427">
      <w:pPr>
        <w:jc w:val="both"/>
      </w:pPr>
      <w:r w:rsidRPr="00737427">
        <w:rPr>
          <w:u w:val="single"/>
        </w:rPr>
        <w:lastRenderedPageBreak/>
        <w:t>POKAZATELJI USPJEŠNOSTI</w:t>
      </w:r>
      <w:r w:rsidRPr="00737427">
        <w:t>:</w:t>
      </w:r>
    </w:p>
    <w:p w14:paraId="570AF6C4" w14:textId="5AA99AA3" w:rsidR="00737427" w:rsidRDefault="00737427" w:rsidP="00737427">
      <w:pPr>
        <w:jc w:val="both"/>
      </w:pPr>
    </w:p>
    <w:p w14:paraId="379E4C76" w14:textId="4C98F899" w:rsidR="00737427" w:rsidRDefault="00771CF2" w:rsidP="00737427">
      <w:pPr>
        <w:jc w:val="both"/>
      </w:pPr>
      <w:r>
        <w:t xml:space="preserve">U prvih nekoliko godina aktivnosti i poslovanja </w:t>
      </w:r>
      <w:r w:rsidR="00182240" w:rsidRPr="00D418BD">
        <w:t>JU Garešnica, pokazatelj</w:t>
      </w:r>
      <w:r>
        <w:t>e</w:t>
      </w:r>
      <w:r w:rsidR="00182240" w:rsidRPr="00D418BD">
        <w:t xml:space="preserve"> uspješnosti </w:t>
      </w:r>
      <w:r>
        <w:t xml:space="preserve">ćemo prikazati </w:t>
      </w:r>
      <w:r w:rsidR="00182240" w:rsidRPr="00D418BD">
        <w:t xml:space="preserve">na temelju </w:t>
      </w:r>
      <w:r w:rsidR="00D418BD" w:rsidRPr="00D418BD">
        <w:t xml:space="preserve">broja posjetitelja i korištenja ponude i turističkih aktivnosti. </w:t>
      </w:r>
      <w:r>
        <w:t xml:space="preserve">Ovi pokazatelji uspješnosti su skloni promjenama i nadopunama. </w:t>
      </w:r>
    </w:p>
    <w:p w14:paraId="293EE84A" w14:textId="6D62351F" w:rsidR="00182240" w:rsidRDefault="00182240" w:rsidP="00737427">
      <w:pPr>
        <w:jc w:val="both"/>
      </w:pPr>
    </w:p>
    <w:tbl>
      <w:tblPr>
        <w:tblStyle w:val="Svijetlareetkatablice"/>
        <w:tblW w:w="9163" w:type="dxa"/>
        <w:tblLook w:val="04A0" w:firstRow="1" w:lastRow="0" w:firstColumn="1" w:lastColumn="0" w:noHBand="0" w:noVBand="1"/>
      </w:tblPr>
      <w:tblGrid>
        <w:gridCol w:w="3085"/>
        <w:gridCol w:w="1929"/>
        <w:gridCol w:w="1383"/>
        <w:gridCol w:w="1383"/>
        <w:gridCol w:w="1383"/>
      </w:tblGrid>
      <w:tr w:rsidR="00721B37" w:rsidRPr="003664C8" w14:paraId="6B6D9175" w14:textId="77777777" w:rsidTr="00721B37">
        <w:trPr>
          <w:trHeight w:val="795"/>
        </w:trPr>
        <w:tc>
          <w:tcPr>
            <w:tcW w:w="3085" w:type="dxa"/>
            <w:tcBorders>
              <w:bottom w:val="single" w:sz="4" w:space="0" w:color="70AD47" w:themeColor="accent6"/>
            </w:tcBorders>
            <w:vAlign w:val="center"/>
          </w:tcPr>
          <w:p w14:paraId="4C701ED2" w14:textId="1CDF29C2" w:rsidR="00721B37" w:rsidRPr="003664C8" w:rsidRDefault="00721B37" w:rsidP="00182240">
            <w:pPr>
              <w:jc w:val="center"/>
              <w:rPr>
                <w:rFonts w:cstheme="minorHAnsi"/>
                <w:b/>
                <w:bCs/>
              </w:rPr>
            </w:pPr>
            <w:r w:rsidRPr="003664C8">
              <w:rPr>
                <w:rFonts w:cstheme="minorHAnsi"/>
                <w:b/>
                <w:bCs/>
              </w:rPr>
              <w:t>Pokazatelji uspješnosti</w:t>
            </w:r>
          </w:p>
        </w:tc>
        <w:tc>
          <w:tcPr>
            <w:tcW w:w="1929" w:type="dxa"/>
            <w:tcBorders>
              <w:bottom w:val="single" w:sz="4" w:space="0" w:color="70AD47" w:themeColor="accent6"/>
            </w:tcBorders>
            <w:vAlign w:val="center"/>
          </w:tcPr>
          <w:p w14:paraId="3A5FBD58" w14:textId="7FEFDB77" w:rsidR="00721B37" w:rsidRPr="003664C8" w:rsidRDefault="00721B37" w:rsidP="00182240">
            <w:pPr>
              <w:jc w:val="center"/>
              <w:rPr>
                <w:rFonts w:cstheme="minorHAnsi"/>
                <w:b/>
                <w:bCs/>
              </w:rPr>
            </w:pPr>
            <w:r w:rsidRPr="003664C8">
              <w:rPr>
                <w:rFonts w:cstheme="minorHAnsi"/>
                <w:b/>
                <w:bCs/>
              </w:rPr>
              <w:t>Jedinica</w:t>
            </w:r>
          </w:p>
        </w:tc>
        <w:tc>
          <w:tcPr>
            <w:tcW w:w="1383" w:type="dxa"/>
            <w:tcBorders>
              <w:bottom w:val="single" w:sz="4" w:space="0" w:color="70AD47" w:themeColor="accent6"/>
            </w:tcBorders>
            <w:vAlign w:val="center"/>
          </w:tcPr>
          <w:p w14:paraId="254823A5" w14:textId="77777777" w:rsidR="00721B37" w:rsidRPr="003664C8" w:rsidRDefault="00721B37" w:rsidP="00182240">
            <w:pPr>
              <w:jc w:val="center"/>
              <w:rPr>
                <w:rFonts w:cstheme="minorHAnsi"/>
                <w:b/>
                <w:bCs/>
              </w:rPr>
            </w:pPr>
            <w:r w:rsidRPr="003664C8">
              <w:rPr>
                <w:rFonts w:cstheme="minorHAnsi"/>
                <w:b/>
                <w:bCs/>
              </w:rPr>
              <w:t>Ciljana</w:t>
            </w:r>
          </w:p>
          <w:p w14:paraId="5B8C48C2" w14:textId="77777777" w:rsidR="00721B37" w:rsidRPr="003664C8" w:rsidRDefault="00721B37" w:rsidP="00182240">
            <w:pPr>
              <w:jc w:val="center"/>
              <w:rPr>
                <w:rFonts w:cstheme="minorHAnsi"/>
                <w:b/>
                <w:bCs/>
              </w:rPr>
            </w:pPr>
            <w:r w:rsidRPr="003664C8">
              <w:rPr>
                <w:rFonts w:cstheme="minorHAnsi"/>
                <w:b/>
                <w:bCs/>
              </w:rPr>
              <w:t>vrijednost</w:t>
            </w:r>
          </w:p>
          <w:p w14:paraId="5422099C" w14:textId="39289B24" w:rsidR="00721B37" w:rsidRPr="003664C8" w:rsidRDefault="00721B37" w:rsidP="00182240">
            <w:pPr>
              <w:jc w:val="center"/>
              <w:rPr>
                <w:rFonts w:cstheme="minorHAnsi"/>
                <w:b/>
                <w:bCs/>
              </w:rPr>
            </w:pPr>
            <w:r w:rsidRPr="003664C8">
              <w:rPr>
                <w:rFonts w:cstheme="minorHAnsi"/>
                <w:b/>
                <w:bCs/>
              </w:rPr>
              <w:t>2023.</w:t>
            </w:r>
          </w:p>
        </w:tc>
        <w:tc>
          <w:tcPr>
            <w:tcW w:w="1383" w:type="dxa"/>
            <w:tcBorders>
              <w:bottom w:val="single" w:sz="4" w:space="0" w:color="70AD47" w:themeColor="accent6"/>
            </w:tcBorders>
            <w:vAlign w:val="center"/>
          </w:tcPr>
          <w:p w14:paraId="4353A6B1" w14:textId="77777777" w:rsidR="00721B37" w:rsidRPr="003664C8" w:rsidRDefault="00721B37" w:rsidP="00182240">
            <w:pPr>
              <w:jc w:val="center"/>
              <w:rPr>
                <w:rFonts w:cstheme="minorHAnsi"/>
                <w:b/>
                <w:bCs/>
              </w:rPr>
            </w:pPr>
            <w:r w:rsidRPr="003664C8">
              <w:rPr>
                <w:rFonts w:cstheme="minorHAnsi"/>
                <w:b/>
                <w:bCs/>
              </w:rPr>
              <w:t>Ciljana</w:t>
            </w:r>
          </w:p>
          <w:p w14:paraId="7B2EA705" w14:textId="77777777" w:rsidR="00721B37" w:rsidRPr="003664C8" w:rsidRDefault="00721B37" w:rsidP="00182240">
            <w:pPr>
              <w:jc w:val="center"/>
              <w:rPr>
                <w:rFonts w:cstheme="minorHAnsi"/>
                <w:b/>
                <w:bCs/>
              </w:rPr>
            </w:pPr>
            <w:r w:rsidRPr="003664C8">
              <w:rPr>
                <w:rFonts w:cstheme="minorHAnsi"/>
                <w:b/>
                <w:bCs/>
              </w:rPr>
              <w:t>vrijednost</w:t>
            </w:r>
          </w:p>
          <w:p w14:paraId="38D778D8" w14:textId="23FC7D13" w:rsidR="00721B37" w:rsidRPr="003664C8" w:rsidRDefault="00721B37" w:rsidP="00182240">
            <w:pPr>
              <w:jc w:val="center"/>
              <w:rPr>
                <w:rFonts w:cstheme="minorHAnsi"/>
                <w:b/>
                <w:bCs/>
              </w:rPr>
            </w:pPr>
            <w:r w:rsidRPr="003664C8">
              <w:rPr>
                <w:rFonts w:cstheme="minorHAnsi"/>
                <w:b/>
                <w:bCs/>
              </w:rPr>
              <w:t>2024.</w:t>
            </w:r>
          </w:p>
        </w:tc>
        <w:tc>
          <w:tcPr>
            <w:tcW w:w="1383" w:type="dxa"/>
            <w:tcBorders>
              <w:bottom w:val="single" w:sz="4" w:space="0" w:color="70AD47" w:themeColor="accent6"/>
            </w:tcBorders>
            <w:vAlign w:val="center"/>
          </w:tcPr>
          <w:p w14:paraId="73EF49E3" w14:textId="77777777" w:rsidR="00721B37" w:rsidRPr="003664C8" w:rsidRDefault="00721B37" w:rsidP="00182240">
            <w:pPr>
              <w:jc w:val="center"/>
              <w:rPr>
                <w:rFonts w:cstheme="minorHAnsi"/>
                <w:b/>
                <w:bCs/>
              </w:rPr>
            </w:pPr>
            <w:r w:rsidRPr="003664C8">
              <w:rPr>
                <w:rFonts w:cstheme="minorHAnsi"/>
                <w:b/>
                <w:bCs/>
              </w:rPr>
              <w:t>Ciljana</w:t>
            </w:r>
          </w:p>
          <w:p w14:paraId="3DF276EF" w14:textId="77777777" w:rsidR="00721B37" w:rsidRPr="003664C8" w:rsidRDefault="00721B37" w:rsidP="00182240">
            <w:pPr>
              <w:jc w:val="center"/>
              <w:rPr>
                <w:rFonts w:cstheme="minorHAnsi"/>
                <w:b/>
                <w:bCs/>
              </w:rPr>
            </w:pPr>
            <w:r w:rsidRPr="003664C8">
              <w:rPr>
                <w:rFonts w:cstheme="minorHAnsi"/>
                <w:b/>
                <w:bCs/>
              </w:rPr>
              <w:t>vrijednost</w:t>
            </w:r>
          </w:p>
          <w:p w14:paraId="3D43C1C6" w14:textId="2D971ED0" w:rsidR="00721B37" w:rsidRPr="003664C8" w:rsidRDefault="00721B37" w:rsidP="00182240">
            <w:pPr>
              <w:jc w:val="center"/>
              <w:rPr>
                <w:rFonts w:cstheme="minorHAnsi"/>
                <w:b/>
                <w:bCs/>
              </w:rPr>
            </w:pPr>
            <w:r w:rsidRPr="003664C8">
              <w:rPr>
                <w:rFonts w:cstheme="minorHAnsi"/>
                <w:b/>
                <w:bCs/>
              </w:rPr>
              <w:t>2025.</w:t>
            </w:r>
          </w:p>
        </w:tc>
      </w:tr>
      <w:tr w:rsidR="00721B37" w:rsidRPr="003664C8" w14:paraId="0F4B3D5C" w14:textId="77777777" w:rsidTr="00721B37">
        <w:trPr>
          <w:trHeight w:val="520"/>
        </w:trPr>
        <w:tc>
          <w:tcPr>
            <w:tcW w:w="3085" w:type="dxa"/>
            <w:tcBorders>
              <w:top w:val="single" w:sz="4" w:space="0" w:color="70AD47" w:themeColor="accent6"/>
            </w:tcBorders>
          </w:tcPr>
          <w:p w14:paraId="65722F1C" w14:textId="67E78CFD" w:rsidR="00721B37" w:rsidRPr="003664C8" w:rsidRDefault="00E45586" w:rsidP="003664C8">
            <w:pPr>
              <w:rPr>
                <w:rFonts w:cstheme="minorHAnsi"/>
              </w:rPr>
            </w:pPr>
            <w:r>
              <w:rPr>
                <w:rFonts w:cstheme="minorHAnsi"/>
              </w:rPr>
              <w:t>u</w:t>
            </w:r>
            <w:r w:rsidR="00721B37" w:rsidRPr="003664C8">
              <w:rPr>
                <w:rFonts w:cstheme="minorHAnsi"/>
              </w:rPr>
              <w:t xml:space="preserve">laznica </w:t>
            </w:r>
          </w:p>
        </w:tc>
        <w:tc>
          <w:tcPr>
            <w:tcW w:w="1929" w:type="dxa"/>
            <w:tcBorders>
              <w:top w:val="single" w:sz="4" w:space="0" w:color="70AD47" w:themeColor="accent6"/>
            </w:tcBorders>
          </w:tcPr>
          <w:p w14:paraId="0100D27C" w14:textId="29B0D533" w:rsidR="00721B37" w:rsidRPr="003664C8" w:rsidRDefault="00721B37" w:rsidP="00721B37">
            <w:pPr>
              <w:rPr>
                <w:rFonts w:cstheme="minorHAnsi"/>
              </w:rPr>
            </w:pPr>
            <w:r w:rsidRPr="003664C8">
              <w:rPr>
                <w:rFonts w:cstheme="minorHAnsi"/>
              </w:rPr>
              <w:t>Broj posjetitelja (pax)</w:t>
            </w:r>
          </w:p>
        </w:tc>
        <w:tc>
          <w:tcPr>
            <w:tcW w:w="1383" w:type="dxa"/>
            <w:tcBorders>
              <w:top w:val="single" w:sz="4" w:space="0" w:color="70AD47" w:themeColor="accent6"/>
            </w:tcBorders>
            <w:vAlign w:val="center"/>
          </w:tcPr>
          <w:p w14:paraId="2B504234" w14:textId="6DA6AB36" w:rsidR="00721B37" w:rsidRPr="003664C8" w:rsidRDefault="00721B37" w:rsidP="003664C8">
            <w:pPr>
              <w:jc w:val="center"/>
              <w:rPr>
                <w:rFonts w:cstheme="minorHAnsi"/>
              </w:rPr>
            </w:pPr>
            <w:r w:rsidRPr="003664C8">
              <w:rPr>
                <w:rFonts w:cstheme="minorHAnsi"/>
              </w:rPr>
              <w:t>1400</w:t>
            </w:r>
          </w:p>
        </w:tc>
        <w:tc>
          <w:tcPr>
            <w:tcW w:w="1383" w:type="dxa"/>
            <w:tcBorders>
              <w:top w:val="single" w:sz="4" w:space="0" w:color="70AD47" w:themeColor="accent6"/>
            </w:tcBorders>
            <w:vAlign w:val="center"/>
          </w:tcPr>
          <w:p w14:paraId="41087CAD" w14:textId="13997383" w:rsidR="00721B37" w:rsidRPr="003664C8" w:rsidRDefault="00721B37" w:rsidP="003664C8">
            <w:pPr>
              <w:jc w:val="center"/>
              <w:rPr>
                <w:rFonts w:cstheme="minorHAnsi"/>
              </w:rPr>
            </w:pPr>
            <w:r w:rsidRPr="003664C8">
              <w:rPr>
                <w:rFonts w:cstheme="minorHAnsi"/>
              </w:rPr>
              <w:t>1960</w:t>
            </w:r>
          </w:p>
        </w:tc>
        <w:tc>
          <w:tcPr>
            <w:tcW w:w="1383" w:type="dxa"/>
            <w:tcBorders>
              <w:top w:val="single" w:sz="4" w:space="0" w:color="70AD47" w:themeColor="accent6"/>
            </w:tcBorders>
            <w:vAlign w:val="center"/>
          </w:tcPr>
          <w:p w14:paraId="7DA3C861" w14:textId="028BA92B" w:rsidR="00721B37" w:rsidRPr="003664C8" w:rsidRDefault="00721B37" w:rsidP="003664C8">
            <w:pPr>
              <w:jc w:val="center"/>
              <w:rPr>
                <w:rFonts w:cstheme="minorHAnsi"/>
              </w:rPr>
            </w:pPr>
            <w:r w:rsidRPr="003664C8">
              <w:rPr>
                <w:rFonts w:cstheme="minorHAnsi"/>
              </w:rPr>
              <w:t>2800</w:t>
            </w:r>
          </w:p>
        </w:tc>
      </w:tr>
      <w:tr w:rsidR="00721B37" w:rsidRPr="003664C8" w14:paraId="1D815BC0" w14:textId="77777777" w:rsidTr="00721B37">
        <w:trPr>
          <w:trHeight w:val="530"/>
        </w:trPr>
        <w:tc>
          <w:tcPr>
            <w:tcW w:w="3085" w:type="dxa"/>
          </w:tcPr>
          <w:p w14:paraId="547D994F" w14:textId="70DF857F" w:rsidR="00721B37" w:rsidRPr="003664C8" w:rsidRDefault="00721B37" w:rsidP="003664C8">
            <w:pPr>
              <w:rPr>
                <w:rFonts w:cstheme="minorHAnsi"/>
              </w:rPr>
            </w:pPr>
            <w:r w:rsidRPr="003664C8">
              <w:rPr>
                <w:rFonts w:cstheme="minorHAnsi"/>
              </w:rPr>
              <w:t>tur. programi namijenjeni za školske grupe</w:t>
            </w:r>
          </w:p>
        </w:tc>
        <w:tc>
          <w:tcPr>
            <w:tcW w:w="1929" w:type="dxa"/>
          </w:tcPr>
          <w:p w14:paraId="565B1ED4" w14:textId="34AA689B" w:rsidR="00721B37" w:rsidRPr="003664C8" w:rsidRDefault="00721B37" w:rsidP="00721B37">
            <w:pPr>
              <w:rPr>
                <w:rFonts w:cstheme="minorHAnsi"/>
              </w:rPr>
            </w:pPr>
            <w:r w:rsidRPr="003664C8">
              <w:rPr>
                <w:rFonts w:cstheme="minorHAnsi"/>
              </w:rPr>
              <w:t>Broj posjetitelja min. 20 pax</w:t>
            </w:r>
          </w:p>
        </w:tc>
        <w:tc>
          <w:tcPr>
            <w:tcW w:w="1383" w:type="dxa"/>
            <w:vAlign w:val="center"/>
          </w:tcPr>
          <w:p w14:paraId="0EDDD35B" w14:textId="7CFA94B3" w:rsidR="00721B37" w:rsidRPr="003664C8" w:rsidRDefault="00721B37" w:rsidP="003664C8">
            <w:pPr>
              <w:jc w:val="center"/>
              <w:rPr>
                <w:rFonts w:cstheme="minorHAnsi"/>
              </w:rPr>
            </w:pPr>
            <w:r w:rsidRPr="003664C8">
              <w:rPr>
                <w:rFonts w:cstheme="minorHAnsi"/>
              </w:rPr>
              <w:t>1000</w:t>
            </w:r>
          </w:p>
        </w:tc>
        <w:tc>
          <w:tcPr>
            <w:tcW w:w="1383" w:type="dxa"/>
            <w:vAlign w:val="center"/>
          </w:tcPr>
          <w:p w14:paraId="6F01F48B" w14:textId="3F54263F" w:rsidR="00721B37" w:rsidRPr="003664C8" w:rsidRDefault="00721B37" w:rsidP="003664C8">
            <w:pPr>
              <w:jc w:val="center"/>
              <w:rPr>
                <w:rFonts w:cstheme="minorHAnsi"/>
              </w:rPr>
            </w:pPr>
            <w:r w:rsidRPr="003664C8">
              <w:rPr>
                <w:rFonts w:cstheme="minorHAnsi"/>
              </w:rPr>
              <w:t>1200</w:t>
            </w:r>
          </w:p>
        </w:tc>
        <w:tc>
          <w:tcPr>
            <w:tcW w:w="1383" w:type="dxa"/>
            <w:vAlign w:val="center"/>
          </w:tcPr>
          <w:p w14:paraId="390F5D76" w14:textId="5917C67F" w:rsidR="00721B37" w:rsidRPr="003664C8" w:rsidRDefault="00721B37" w:rsidP="003664C8">
            <w:pPr>
              <w:jc w:val="center"/>
              <w:rPr>
                <w:rFonts w:cstheme="minorHAnsi"/>
              </w:rPr>
            </w:pPr>
            <w:r w:rsidRPr="003664C8">
              <w:rPr>
                <w:rFonts w:cstheme="minorHAnsi"/>
              </w:rPr>
              <w:t>1400</w:t>
            </w:r>
          </w:p>
        </w:tc>
      </w:tr>
      <w:tr w:rsidR="00721B37" w:rsidRPr="003664C8" w14:paraId="3029785F" w14:textId="77777777" w:rsidTr="00721B37">
        <w:trPr>
          <w:trHeight w:val="530"/>
        </w:trPr>
        <w:tc>
          <w:tcPr>
            <w:tcW w:w="3085" w:type="dxa"/>
          </w:tcPr>
          <w:p w14:paraId="06A98D1A" w14:textId="20AA8F5D" w:rsidR="00721B37" w:rsidRPr="003664C8" w:rsidRDefault="00721B37" w:rsidP="003664C8">
            <w:pPr>
              <w:rPr>
                <w:rFonts w:cstheme="minorHAnsi"/>
              </w:rPr>
            </w:pPr>
            <w:r w:rsidRPr="003664C8">
              <w:rPr>
                <w:rFonts w:cstheme="minorHAnsi"/>
              </w:rPr>
              <w:t>iznajmljivanja multimedijalne dvorane</w:t>
            </w:r>
          </w:p>
        </w:tc>
        <w:tc>
          <w:tcPr>
            <w:tcW w:w="1929" w:type="dxa"/>
          </w:tcPr>
          <w:p w14:paraId="7FAA374D" w14:textId="38F3E1FF" w:rsidR="00721B37" w:rsidRPr="003664C8" w:rsidRDefault="00721B37" w:rsidP="00721B37">
            <w:pPr>
              <w:rPr>
                <w:rFonts w:cstheme="minorHAnsi"/>
              </w:rPr>
            </w:pPr>
            <w:r w:rsidRPr="003664C8">
              <w:rPr>
                <w:rFonts w:cstheme="minorHAnsi"/>
              </w:rPr>
              <w:t>kom</w:t>
            </w:r>
          </w:p>
        </w:tc>
        <w:tc>
          <w:tcPr>
            <w:tcW w:w="1383" w:type="dxa"/>
            <w:vAlign w:val="center"/>
          </w:tcPr>
          <w:p w14:paraId="09A28B1D" w14:textId="004A29E4" w:rsidR="00721B37" w:rsidRPr="003664C8" w:rsidRDefault="00721B37" w:rsidP="003664C8">
            <w:pPr>
              <w:jc w:val="center"/>
              <w:rPr>
                <w:rFonts w:cstheme="minorHAnsi"/>
              </w:rPr>
            </w:pPr>
            <w:r w:rsidRPr="003664C8">
              <w:rPr>
                <w:rFonts w:cstheme="minorHAnsi"/>
              </w:rPr>
              <w:t>150</w:t>
            </w:r>
          </w:p>
        </w:tc>
        <w:tc>
          <w:tcPr>
            <w:tcW w:w="1383" w:type="dxa"/>
            <w:vAlign w:val="center"/>
          </w:tcPr>
          <w:p w14:paraId="3BBF877D" w14:textId="3385028F" w:rsidR="00721B37" w:rsidRPr="003664C8" w:rsidRDefault="00721B37" w:rsidP="003664C8">
            <w:pPr>
              <w:jc w:val="center"/>
              <w:rPr>
                <w:rFonts w:cstheme="minorHAnsi"/>
              </w:rPr>
            </w:pPr>
            <w:r w:rsidRPr="003664C8">
              <w:rPr>
                <w:rFonts w:cstheme="minorHAnsi"/>
              </w:rPr>
              <w:t>200</w:t>
            </w:r>
          </w:p>
        </w:tc>
        <w:tc>
          <w:tcPr>
            <w:tcW w:w="1383" w:type="dxa"/>
            <w:vAlign w:val="center"/>
          </w:tcPr>
          <w:p w14:paraId="3DBDA9D7" w14:textId="38C4D7A2" w:rsidR="00721B37" w:rsidRPr="003664C8" w:rsidRDefault="00721B37" w:rsidP="003664C8">
            <w:pPr>
              <w:jc w:val="center"/>
              <w:rPr>
                <w:rFonts w:cstheme="minorHAnsi"/>
              </w:rPr>
            </w:pPr>
            <w:r w:rsidRPr="003664C8">
              <w:rPr>
                <w:rFonts w:cstheme="minorHAnsi"/>
              </w:rPr>
              <w:t>235</w:t>
            </w:r>
          </w:p>
        </w:tc>
      </w:tr>
      <w:tr w:rsidR="00721B37" w:rsidRPr="003664C8" w14:paraId="3222A826" w14:textId="77777777" w:rsidTr="00721B37">
        <w:trPr>
          <w:trHeight w:val="520"/>
        </w:trPr>
        <w:tc>
          <w:tcPr>
            <w:tcW w:w="3085" w:type="dxa"/>
          </w:tcPr>
          <w:p w14:paraId="41FB9121" w14:textId="62AEACAC" w:rsidR="00721B37" w:rsidRPr="003664C8" w:rsidRDefault="00721B37" w:rsidP="003664C8">
            <w:pPr>
              <w:rPr>
                <w:rFonts w:cstheme="minorHAnsi"/>
              </w:rPr>
            </w:pPr>
            <w:r w:rsidRPr="003664C8">
              <w:rPr>
                <w:rFonts w:cstheme="minorHAnsi"/>
              </w:rPr>
              <w:t>iznajmljivanja multimedijalne učionice</w:t>
            </w:r>
          </w:p>
        </w:tc>
        <w:tc>
          <w:tcPr>
            <w:tcW w:w="1929" w:type="dxa"/>
          </w:tcPr>
          <w:p w14:paraId="4C09922E" w14:textId="3C1CC0A8" w:rsidR="00721B37" w:rsidRPr="003664C8" w:rsidRDefault="00721B37" w:rsidP="00721B37">
            <w:pPr>
              <w:rPr>
                <w:rFonts w:cstheme="minorHAnsi"/>
              </w:rPr>
            </w:pPr>
            <w:r w:rsidRPr="003664C8">
              <w:rPr>
                <w:rFonts w:cstheme="minorHAnsi"/>
              </w:rPr>
              <w:t>kom</w:t>
            </w:r>
          </w:p>
        </w:tc>
        <w:tc>
          <w:tcPr>
            <w:tcW w:w="1383" w:type="dxa"/>
            <w:vAlign w:val="center"/>
          </w:tcPr>
          <w:p w14:paraId="112EA224" w14:textId="6D10C009" w:rsidR="00721B37" w:rsidRPr="003664C8" w:rsidRDefault="00721B37" w:rsidP="003664C8">
            <w:pPr>
              <w:jc w:val="center"/>
              <w:rPr>
                <w:rFonts w:cstheme="minorHAnsi"/>
              </w:rPr>
            </w:pPr>
            <w:r w:rsidRPr="003664C8">
              <w:rPr>
                <w:rFonts w:cstheme="minorHAnsi"/>
              </w:rPr>
              <w:t>40</w:t>
            </w:r>
          </w:p>
        </w:tc>
        <w:tc>
          <w:tcPr>
            <w:tcW w:w="1383" w:type="dxa"/>
            <w:vAlign w:val="center"/>
          </w:tcPr>
          <w:p w14:paraId="450EF2B4" w14:textId="636D4723" w:rsidR="00721B37" w:rsidRPr="003664C8" w:rsidRDefault="00721B37" w:rsidP="003664C8">
            <w:pPr>
              <w:jc w:val="center"/>
              <w:rPr>
                <w:rFonts w:cstheme="minorHAnsi"/>
              </w:rPr>
            </w:pPr>
            <w:r w:rsidRPr="003664C8">
              <w:rPr>
                <w:rFonts w:cstheme="minorHAnsi"/>
              </w:rPr>
              <w:t>100</w:t>
            </w:r>
          </w:p>
        </w:tc>
        <w:tc>
          <w:tcPr>
            <w:tcW w:w="1383" w:type="dxa"/>
            <w:vAlign w:val="center"/>
          </w:tcPr>
          <w:p w14:paraId="6981C2FF" w14:textId="5E157AA9" w:rsidR="00721B37" w:rsidRPr="003664C8" w:rsidRDefault="00721B37" w:rsidP="003664C8">
            <w:pPr>
              <w:jc w:val="center"/>
              <w:rPr>
                <w:rFonts w:cstheme="minorHAnsi"/>
              </w:rPr>
            </w:pPr>
            <w:r w:rsidRPr="003664C8">
              <w:rPr>
                <w:rFonts w:cstheme="minorHAnsi"/>
              </w:rPr>
              <w:t>150</w:t>
            </w:r>
          </w:p>
        </w:tc>
      </w:tr>
      <w:tr w:rsidR="00721B37" w:rsidRPr="003664C8" w14:paraId="03BF5D5F" w14:textId="77777777" w:rsidTr="00721B37">
        <w:trPr>
          <w:trHeight w:val="795"/>
        </w:trPr>
        <w:tc>
          <w:tcPr>
            <w:tcW w:w="3085" w:type="dxa"/>
          </w:tcPr>
          <w:p w14:paraId="769988C7" w14:textId="27C550E6" w:rsidR="00721B37" w:rsidRPr="003664C8" w:rsidRDefault="00721B37" w:rsidP="003664C8">
            <w:pPr>
              <w:rPr>
                <w:rFonts w:cstheme="minorHAnsi"/>
              </w:rPr>
            </w:pPr>
            <w:r w:rsidRPr="003664C8">
              <w:rPr>
                <w:rFonts w:cstheme="minorHAnsi"/>
              </w:rPr>
              <w:t>organizacije i izvođenje edukativnih radionica u laboratoriju</w:t>
            </w:r>
          </w:p>
        </w:tc>
        <w:tc>
          <w:tcPr>
            <w:tcW w:w="1929" w:type="dxa"/>
          </w:tcPr>
          <w:p w14:paraId="41A3505B" w14:textId="40283975" w:rsidR="00721B37" w:rsidRPr="003664C8" w:rsidRDefault="00721B37" w:rsidP="00721B37">
            <w:pPr>
              <w:rPr>
                <w:rFonts w:cstheme="minorHAnsi"/>
              </w:rPr>
            </w:pPr>
            <w:r w:rsidRPr="003664C8">
              <w:rPr>
                <w:rFonts w:cstheme="minorHAnsi"/>
              </w:rPr>
              <w:t>Broj posjetitelja min. 15 pax</w:t>
            </w:r>
          </w:p>
        </w:tc>
        <w:tc>
          <w:tcPr>
            <w:tcW w:w="1383" w:type="dxa"/>
            <w:vAlign w:val="center"/>
          </w:tcPr>
          <w:p w14:paraId="2A6C88AA" w14:textId="29C03C85" w:rsidR="00721B37" w:rsidRPr="003664C8" w:rsidRDefault="00721B37" w:rsidP="003664C8">
            <w:pPr>
              <w:jc w:val="center"/>
              <w:rPr>
                <w:rFonts w:cstheme="minorHAnsi"/>
              </w:rPr>
            </w:pPr>
            <w:r w:rsidRPr="003664C8">
              <w:rPr>
                <w:rFonts w:cstheme="minorHAnsi"/>
              </w:rPr>
              <w:t>700</w:t>
            </w:r>
          </w:p>
        </w:tc>
        <w:tc>
          <w:tcPr>
            <w:tcW w:w="1383" w:type="dxa"/>
            <w:vAlign w:val="center"/>
          </w:tcPr>
          <w:p w14:paraId="20C3A56C" w14:textId="09827E44" w:rsidR="00721B37" w:rsidRPr="003664C8" w:rsidRDefault="00721B37" w:rsidP="003664C8">
            <w:pPr>
              <w:jc w:val="center"/>
              <w:rPr>
                <w:rFonts w:cstheme="minorHAnsi"/>
              </w:rPr>
            </w:pPr>
            <w:r w:rsidRPr="003664C8">
              <w:rPr>
                <w:rFonts w:cstheme="minorHAnsi"/>
              </w:rPr>
              <w:t>1000</w:t>
            </w:r>
          </w:p>
        </w:tc>
        <w:tc>
          <w:tcPr>
            <w:tcW w:w="1383" w:type="dxa"/>
            <w:vAlign w:val="center"/>
          </w:tcPr>
          <w:p w14:paraId="0CADD48A" w14:textId="41702AC6" w:rsidR="00721B37" w:rsidRPr="003664C8" w:rsidRDefault="00721B37" w:rsidP="003664C8">
            <w:pPr>
              <w:jc w:val="center"/>
              <w:rPr>
                <w:rFonts w:cstheme="minorHAnsi"/>
              </w:rPr>
            </w:pPr>
            <w:r w:rsidRPr="003664C8">
              <w:rPr>
                <w:rFonts w:cstheme="minorHAnsi"/>
              </w:rPr>
              <w:t>1500</w:t>
            </w:r>
          </w:p>
        </w:tc>
      </w:tr>
      <w:tr w:rsidR="00721B37" w:rsidRPr="003664C8" w14:paraId="06796DA6" w14:textId="77777777" w:rsidTr="00721B37">
        <w:trPr>
          <w:trHeight w:val="795"/>
        </w:trPr>
        <w:tc>
          <w:tcPr>
            <w:tcW w:w="3085" w:type="dxa"/>
          </w:tcPr>
          <w:p w14:paraId="5F6DB191" w14:textId="7BECE160" w:rsidR="00721B37" w:rsidRPr="003664C8" w:rsidRDefault="00721B37" w:rsidP="003664C8">
            <w:pPr>
              <w:rPr>
                <w:rFonts w:cstheme="minorHAnsi"/>
              </w:rPr>
            </w:pPr>
            <w:r w:rsidRPr="003664C8">
              <w:rPr>
                <w:rFonts w:cstheme="minorHAnsi"/>
              </w:rPr>
              <w:t>organizacije i izvođenje edukativnih radionica u multimedijalnoj učionici</w:t>
            </w:r>
          </w:p>
        </w:tc>
        <w:tc>
          <w:tcPr>
            <w:tcW w:w="1929" w:type="dxa"/>
          </w:tcPr>
          <w:p w14:paraId="1515A158" w14:textId="2169107F" w:rsidR="00721B37" w:rsidRPr="003664C8" w:rsidRDefault="00721B37" w:rsidP="00721B37">
            <w:pPr>
              <w:rPr>
                <w:rFonts w:cstheme="minorHAnsi"/>
              </w:rPr>
            </w:pPr>
            <w:r w:rsidRPr="003664C8">
              <w:rPr>
                <w:rFonts w:cstheme="minorHAnsi"/>
              </w:rPr>
              <w:t>Broj posjetitelja min. 15 pax</w:t>
            </w:r>
          </w:p>
        </w:tc>
        <w:tc>
          <w:tcPr>
            <w:tcW w:w="1383" w:type="dxa"/>
            <w:vAlign w:val="center"/>
          </w:tcPr>
          <w:p w14:paraId="7442D6B7" w14:textId="5B791F4C" w:rsidR="00721B37" w:rsidRPr="003664C8" w:rsidRDefault="00721B37" w:rsidP="003664C8">
            <w:pPr>
              <w:jc w:val="center"/>
              <w:rPr>
                <w:rFonts w:cstheme="minorHAnsi"/>
              </w:rPr>
            </w:pPr>
            <w:r w:rsidRPr="003664C8">
              <w:rPr>
                <w:rFonts w:cstheme="minorHAnsi"/>
              </w:rPr>
              <w:t>700</w:t>
            </w:r>
          </w:p>
        </w:tc>
        <w:tc>
          <w:tcPr>
            <w:tcW w:w="1383" w:type="dxa"/>
            <w:vAlign w:val="center"/>
          </w:tcPr>
          <w:p w14:paraId="4334237D" w14:textId="50B28D8F" w:rsidR="00721B37" w:rsidRPr="003664C8" w:rsidRDefault="00721B37" w:rsidP="003664C8">
            <w:pPr>
              <w:jc w:val="center"/>
              <w:rPr>
                <w:rFonts w:cstheme="minorHAnsi"/>
              </w:rPr>
            </w:pPr>
            <w:r w:rsidRPr="003664C8">
              <w:rPr>
                <w:rFonts w:cstheme="minorHAnsi"/>
              </w:rPr>
              <w:t>1000</w:t>
            </w:r>
          </w:p>
        </w:tc>
        <w:tc>
          <w:tcPr>
            <w:tcW w:w="1383" w:type="dxa"/>
            <w:vAlign w:val="center"/>
          </w:tcPr>
          <w:p w14:paraId="424259BD" w14:textId="6CED96D1" w:rsidR="00721B37" w:rsidRPr="003664C8" w:rsidRDefault="00721B37" w:rsidP="003664C8">
            <w:pPr>
              <w:jc w:val="center"/>
              <w:rPr>
                <w:rFonts w:cstheme="minorHAnsi"/>
              </w:rPr>
            </w:pPr>
            <w:r w:rsidRPr="003664C8">
              <w:rPr>
                <w:rFonts w:cstheme="minorHAnsi"/>
              </w:rPr>
              <w:t>1500</w:t>
            </w:r>
          </w:p>
        </w:tc>
      </w:tr>
      <w:tr w:rsidR="00721B37" w:rsidRPr="003664C8" w14:paraId="530F5580" w14:textId="77777777" w:rsidTr="00721B37">
        <w:trPr>
          <w:trHeight w:val="541"/>
        </w:trPr>
        <w:tc>
          <w:tcPr>
            <w:tcW w:w="3085" w:type="dxa"/>
          </w:tcPr>
          <w:p w14:paraId="7B701F71" w14:textId="22EC8220" w:rsidR="00721B37" w:rsidRPr="003664C8" w:rsidRDefault="00721B37" w:rsidP="003664C8">
            <w:pPr>
              <w:rPr>
                <w:rFonts w:cstheme="minorHAnsi"/>
              </w:rPr>
            </w:pPr>
            <w:r w:rsidRPr="003664C8">
              <w:rPr>
                <w:rFonts w:cstheme="minorHAnsi"/>
              </w:rPr>
              <w:t>iznajmljivanja bicikala, dalekozora, teleskopa i čamaca</w:t>
            </w:r>
          </w:p>
        </w:tc>
        <w:tc>
          <w:tcPr>
            <w:tcW w:w="1929" w:type="dxa"/>
          </w:tcPr>
          <w:p w14:paraId="3639BD5E" w14:textId="4EF08EAF" w:rsidR="00721B37" w:rsidRPr="003664C8" w:rsidRDefault="00721B37" w:rsidP="00721B37">
            <w:pPr>
              <w:rPr>
                <w:rFonts w:cstheme="minorHAnsi"/>
              </w:rPr>
            </w:pPr>
            <w:r w:rsidRPr="003664C8">
              <w:rPr>
                <w:rFonts w:cstheme="minorHAnsi"/>
              </w:rPr>
              <w:t>kom</w:t>
            </w:r>
          </w:p>
        </w:tc>
        <w:tc>
          <w:tcPr>
            <w:tcW w:w="1383" w:type="dxa"/>
          </w:tcPr>
          <w:p w14:paraId="2A17964D" w14:textId="05C17955" w:rsidR="00721B37" w:rsidRPr="003664C8" w:rsidRDefault="00721B37" w:rsidP="001E25D5">
            <w:pPr>
              <w:jc w:val="center"/>
              <w:rPr>
                <w:rFonts w:cstheme="minorHAnsi"/>
              </w:rPr>
            </w:pPr>
            <w:r w:rsidRPr="003664C8">
              <w:rPr>
                <w:rFonts w:cstheme="minorHAnsi"/>
              </w:rPr>
              <w:t>100</w:t>
            </w:r>
          </w:p>
        </w:tc>
        <w:tc>
          <w:tcPr>
            <w:tcW w:w="1383" w:type="dxa"/>
          </w:tcPr>
          <w:p w14:paraId="65EDC4D0" w14:textId="337F69F9" w:rsidR="00721B37" w:rsidRPr="003664C8" w:rsidRDefault="00721B37" w:rsidP="001E25D5">
            <w:pPr>
              <w:jc w:val="center"/>
              <w:rPr>
                <w:rFonts w:cstheme="minorHAnsi"/>
              </w:rPr>
            </w:pPr>
            <w:r w:rsidRPr="003664C8">
              <w:rPr>
                <w:rFonts w:cstheme="minorHAnsi"/>
              </w:rPr>
              <w:t>150</w:t>
            </w:r>
          </w:p>
        </w:tc>
        <w:tc>
          <w:tcPr>
            <w:tcW w:w="1383" w:type="dxa"/>
          </w:tcPr>
          <w:p w14:paraId="6DA44C48" w14:textId="3B62DEC7" w:rsidR="00721B37" w:rsidRPr="003664C8" w:rsidRDefault="00721B37" w:rsidP="001E25D5">
            <w:pPr>
              <w:jc w:val="center"/>
              <w:rPr>
                <w:rFonts w:cstheme="minorHAnsi"/>
              </w:rPr>
            </w:pPr>
            <w:r w:rsidRPr="003664C8">
              <w:rPr>
                <w:rFonts w:cstheme="minorHAnsi"/>
              </w:rPr>
              <w:t>200</w:t>
            </w:r>
          </w:p>
        </w:tc>
      </w:tr>
      <w:tr w:rsidR="00721B37" w:rsidRPr="003664C8" w14:paraId="08205269" w14:textId="77777777" w:rsidTr="00721B37">
        <w:trPr>
          <w:trHeight w:val="265"/>
        </w:trPr>
        <w:tc>
          <w:tcPr>
            <w:tcW w:w="3085" w:type="dxa"/>
          </w:tcPr>
          <w:p w14:paraId="4B099FE3" w14:textId="5B50E991" w:rsidR="00721B37" w:rsidRPr="003664C8" w:rsidRDefault="00721B37" w:rsidP="003664C8">
            <w:pPr>
              <w:rPr>
                <w:rFonts w:cstheme="minorHAnsi"/>
                <w:b/>
                <w:bCs/>
              </w:rPr>
            </w:pPr>
            <w:r w:rsidRPr="003664C8">
              <w:rPr>
                <w:rFonts w:cstheme="minorHAnsi"/>
                <w:b/>
                <w:bCs/>
              </w:rPr>
              <w:t>Ukupno</w:t>
            </w:r>
          </w:p>
        </w:tc>
        <w:tc>
          <w:tcPr>
            <w:tcW w:w="1929" w:type="dxa"/>
          </w:tcPr>
          <w:p w14:paraId="19065C5A" w14:textId="77777777" w:rsidR="00721B37" w:rsidRPr="003664C8" w:rsidRDefault="00721B37" w:rsidP="003664C8">
            <w:pPr>
              <w:jc w:val="both"/>
              <w:rPr>
                <w:rFonts w:cstheme="minorHAnsi"/>
                <w:b/>
                <w:bCs/>
              </w:rPr>
            </w:pPr>
          </w:p>
        </w:tc>
        <w:tc>
          <w:tcPr>
            <w:tcW w:w="1383" w:type="dxa"/>
          </w:tcPr>
          <w:p w14:paraId="53C64877" w14:textId="6D444A2A" w:rsidR="00721B37" w:rsidRPr="003664C8" w:rsidRDefault="00721B37" w:rsidP="001E25D5">
            <w:pPr>
              <w:jc w:val="center"/>
              <w:rPr>
                <w:rFonts w:cstheme="minorHAnsi"/>
                <w:b/>
                <w:bCs/>
              </w:rPr>
            </w:pPr>
            <w:r w:rsidRPr="003664C8">
              <w:rPr>
                <w:rFonts w:cstheme="minorHAnsi"/>
                <w:b/>
                <w:bCs/>
              </w:rPr>
              <w:t>4090</w:t>
            </w:r>
          </w:p>
        </w:tc>
        <w:tc>
          <w:tcPr>
            <w:tcW w:w="1383" w:type="dxa"/>
          </w:tcPr>
          <w:p w14:paraId="78D6D844" w14:textId="4347ADA5" w:rsidR="00721B37" w:rsidRPr="003664C8" w:rsidRDefault="00721B37" w:rsidP="001E25D5">
            <w:pPr>
              <w:jc w:val="center"/>
              <w:rPr>
                <w:rFonts w:cstheme="minorHAnsi"/>
                <w:b/>
                <w:bCs/>
              </w:rPr>
            </w:pPr>
            <w:r w:rsidRPr="003664C8">
              <w:rPr>
                <w:rFonts w:cstheme="minorHAnsi"/>
                <w:b/>
                <w:bCs/>
              </w:rPr>
              <w:t>5610</w:t>
            </w:r>
          </w:p>
        </w:tc>
        <w:tc>
          <w:tcPr>
            <w:tcW w:w="1383" w:type="dxa"/>
          </w:tcPr>
          <w:p w14:paraId="65339D24" w14:textId="7F046798" w:rsidR="00721B37" w:rsidRPr="003664C8" w:rsidRDefault="00721B37" w:rsidP="001E25D5">
            <w:pPr>
              <w:jc w:val="center"/>
              <w:rPr>
                <w:rFonts w:cstheme="minorHAnsi"/>
                <w:b/>
                <w:bCs/>
              </w:rPr>
            </w:pPr>
            <w:r w:rsidRPr="003664C8">
              <w:rPr>
                <w:rFonts w:cstheme="minorHAnsi"/>
                <w:b/>
                <w:bCs/>
              </w:rPr>
              <w:t>7785</w:t>
            </w:r>
          </w:p>
        </w:tc>
      </w:tr>
    </w:tbl>
    <w:p w14:paraId="6B9CE916" w14:textId="3100BC1D" w:rsidR="00182240" w:rsidRPr="00A12705" w:rsidRDefault="00A12705" w:rsidP="00737427">
      <w:pPr>
        <w:jc w:val="both"/>
        <w:rPr>
          <w:i/>
          <w:iCs/>
          <w:sz w:val="18"/>
          <w:szCs w:val="18"/>
        </w:rPr>
      </w:pPr>
      <w:r w:rsidRPr="00A12705">
        <w:rPr>
          <w:i/>
          <w:iCs/>
          <w:sz w:val="18"/>
          <w:szCs w:val="18"/>
        </w:rPr>
        <w:t xml:space="preserve">*Osnovna vrijednost = dan*pax </w:t>
      </w:r>
    </w:p>
    <w:p w14:paraId="59DDA952" w14:textId="21B6759F" w:rsidR="009D217E" w:rsidRDefault="009D217E" w:rsidP="00737427">
      <w:pPr>
        <w:jc w:val="both"/>
      </w:pPr>
    </w:p>
    <w:p w14:paraId="6FCB0B02" w14:textId="1DB94716" w:rsidR="004B489E" w:rsidRDefault="004B489E" w:rsidP="00737427">
      <w:pPr>
        <w:jc w:val="both"/>
      </w:pPr>
      <w:r>
        <w:t>Pokazatelji uspješnosti uključuju različite sadržaje. Ulaznice uključuju o</w:t>
      </w:r>
      <w:r w:rsidRPr="004B489E">
        <w:t>bilazak Centra, video produkciju o Poilovlju, obilazak aktualne izložbe</w:t>
      </w:r>
      <w:r>
        <w:t xml:space="preserve"> te može uključivati</w:t>
      </w:r>
      <w:r w:rsidRPr="004B489E">
        <w:t xml:space="preserve"> pripovjedno vođenje prema izboru</w:t>
      </w:r>
      <w:r>
        <w:t xml:space="preserve"> posjetitelja. Turistički programi za školske grupe sadrže različite sadržaje. Uključuju aktivnosti na otvorenom npr. na edukativno-informativnim punktovima Poilovlja i aktivnostima u prostorijama Centra. To su složeni tematsko-edukativni programi prilagođeni uzrastu djece, a temelje se na biljnom i životinjskom svijetu Poilovlja. U izvođenju sadržaja za školske grupe sudjeluju i vanjski suradnici i djelatnici JU Garešnica.  Na sličan način koncipiraju se i edukativne radionice u laboratoriju i multimedijalnoj učionici. </w:t>
      </w:r>
    </w:p>
    <w:p w14:paraId="67E8CDEA" w14:textId="77777777" w:rsidR="004B489E" w:rsidRDefault="004B489E" w:rsidP="00737427">
      <w:pPr>
        <w:jc w:val="both"/>
      </w:pPr>
    </w:p>
    <w:p w14:paraId="67C20EFD" w14:textId="77777777" w:rsidR="00323B3F" w:rsidRDefault="009D217E" w:rsidP="00323B3F">
      <w:pPr>
        <w:jc w:val="both"/>
      </w:pPr>
      <w:r>
        <w:t xml:space="preserve">Na temelju pokazatelja uspješnosti, učinaka i </w:t>
      </w:r>
      <w:r w:rsidR="001E25D5">
        <w:t xml:space="preserve">predviđenih </w:t>
      </w:r>
      <w:r>
        <w:t xml:space="preserve">rezultata koji su navedeni u prethodnoj tablici u nastavku se detaljnije obrazlažu </w:t>
      </w:r>
      <w:r w:rsidR="001E25D5" w:rsidRPr="001E25D5">
        <w:t xml:space="preserve">operativni ciljevi </w:t>
      </w:r>
      <w:r w:rsidR="001E25D5">
        <w:t xml:space="preserve">za 2023. godinu: </w:t>
      </w:r>
      <w:r>
        <w:t xml:space="preserve"> </w:t>
      </w:r>
    </w:p>
    <w:p w14:paraId="436D84F6" w14:textId="34ACE460" w:rsidR="001E25D5" w:rsidRDefault="001E25D5" w:rsidP="00323B3F">
      <w:pPr>
        <w:pStyle w:val="Odlomakpopisa"/>
        <w:numPr>
          <w:ilvl w:val="0"/>
          <w:numId w:val="13"/>
        </w:numPr>
        <w:jc w:val="both"/>
      </w:pPr>
      <w:r w:rsidRPr="001E25D5">
        <w:t>Razvoj prostorno koncentrirane turističke ponude na području Poilovlja</w:t>
      </w:r>
    </w:p>
    <w:p w14:paraId="27B33D13" w14:textId="4BB70BD9" w:rsidR="001E25D5" w:rsidRDefault="001E25D5" w:rsidP="001E25D5">
      <w:pPr>
        <w:pStyle w:val="Odlomakpopisa"/>
        <w:jc w:val="both"/>
      </w:pPr>
      <w:r w:rsidRPr="001E25D5">
        <w:t xml:space="preserve">Ovaj cilj pomaže u jačanju atrakcijske osnove i podrazumijeva dodatnu turističku ponudu te je podrška razvoju novih atrakcija i sadržaja u destinaciji. Izvršava se s pojačanom koordinacijom i suradnjom s lokalnom turističkom zajednicom (TZ SM), sinergijom i suradnjom dionika u turizmu na području grada Garešnica i okolice (izletišta, OPG, vinarije, ugostiteljski objekti, smještajni objekti, turističke agencije, planinarska društva, biciklističke udruge, muzeji, galerije, osnovne i srednje škole), suradnjom s fizičkim osobama koje izravno djeluju u turizmu u našoj županiji (licencirani turistički vodiči, ciklovodiči, licencirani skiperi, </w:t>
      </w:r>
      <w:r>
        <w:t xml:space="preserve">biolozi, </w:t>
      </w:r>
      <w:r w:rsidRPr="001E25D5">
        <w:t>pratitelji putovanja)</w:t>
      </w:r>
      <w:r>
        <w:t>.</w:t>
      </w:r>
    </w:p>
    <w:p w14:paraId="484E66D0" w14:textId="30102347" w:rsidR="001E25D5" w:rsidRDefault="001E25D5" w:rsidP="001E25D5">
      <w:pPr>
        <w:pStyle w:val="Odlomakpopisa"/>
        <w:numPr>
          <w:ilvl w:val="0"/>
          <w:numId w:val="12"/>
        </w:numPr>
        <w:jc w:val="both"/>
      </w:pPr>
      <w:r w:rsidRPr="001E25D5">
        <w:t xml:space="preserve">Definirati </w:t>
      </w:r>
      <w:r>
        <w:t xml:space="preserve">i odrediti ponudu </w:t>
      </w:r>
      <w:r w:rsidRPr="001E25D5">
        <w:t>selektivn</w:t>
      </w:r>
      <w:r>
        <w:t>ih</w:t>
      </w:r>
      <w:r w:rsidRPr="001E25D5">
        <w:t xml:space="preserve"> i konkurentn</w:t>
      </w:r>
      <w:r>
        <w:t xml:space="preserve">ih </w:t>
      </w:r>
      <w:r w:rsidRPr="001E25D5">
        <w:t>turističk</w:t>
      </w:r>
      <w:r>
        <w:t>ih</w:t>
      </w:r>
      <w:r w:rsidRPr="001E25D5">
        <w:t xml:space="preserve"> proizvod</w:t>
      </w:r>
      <w:r>
        <w:t>a</w:t>
      </w:r>
    </w:p>
    <w:p w14:paraId="48BEE3AD" w14:textId="5A5E99B2" w:rsidR="001E25D5" w:rsidRDefault="001E25D5" w:rsidP="001E25D5">
      <w:pPr>
        <w:pStyle w:val="Odlomakpopisa"/>
        <w:jc w:val="both"/>
      </w:pPr>
      <w:r w:rsidRPr="001E25D5">
        <w:t xml:space="preserve">Ovaj cilj pomaže u stvaranju i isticanju trendova selektivnih oblika turizma koji sezonski turizam  postupno mijenjaju i pomažu u ravnomjernom broju dolazaka turista tijekom cijele godine. </w:t>
      </w:r>
      <w:r w:rsidRPr="001E25D5">
        <w:lastRenderedPageBreak/>
        <w:t>Shodno resursima i atrakcijskim osnovama Javne ustanove Garešnica, turistički proizvodi će se orijentirati prema selektivnim oblicima</w:t>
      </w:r>
      <w:r>
        <w:t xml:space="preserve"> (e</w:t>
      </w:r>
      <w:r w:rsidRPr="001E25D5">
        <w:t>koturizam</w:t>
      </w:r>
      <w:r>
        <w:t>, r</w:t>
      </w:r>
      <w:r w:rsidRPr="001E25D5">
        <w:t>ibolovni turizam</w:t>
      </w:r>
      <w:r>
        <w:t>, s</w:t>
      </w:r>
      <w:r w:rsidRPr="001E25D5">
        <w:t>portski turizam</w:t>
      </w:r>
      <w:r>
        <w:t>, o</w:t>
      </w:r>
      <w:r w:rsidRPr="001E25D5">
        <w:t>brazovni turizam</w:t>
      </w:r>
      <w:r>
        <w:t>, p</w:t>
      </w:r>
      <w:r w:rsidRPr="001E25D5">
        <w:t>ustolovni turizam</w:t>
      </w:r>
      <w:r>
        <w:t>, p</w:t>
      </w:r>
      <w:r w:rsidRPr="001E25D5">
        <w:t xml:space="preserve">romatranje ptica engl. birdwatching, </w:t>
      </w:r>
      <w:proofErr w:type="spellStart"/>
      <w:r w:rsidRPr="001E25D5">
        <w:t>birding</w:t>
      </w:r>
      <w:proofErr w:type="spellEnd"/>
      <w:r>
        <w:t>).</w:t>
      </w:r>
    </w:p>
    <w:p w14:paraId="7A3B15A8" w14:textId="383611F4" w:rsidR="001E25D5" w:rsidRDefault="001E25D5" w:rsidP="001E25D5">
      <w:pPr>
        <w:pStyle w:val="Odlomakpopisa"/>
        <w:numPr>
          <w:ilvl w:val="0"/>
          <w:numId w:val="12"/>
        </w:numPr>
        <w:jc w:val="both"/>
      </w:pPr>
      <w:r w:rsidRPr="001E25D5">
        <w:t>Privlačenje gostiju i ostvarivanje prihoda</w:t>
      </w:r>
    </w:p>
    <w:p w14:paraId="0D5B99F5" w14:textId="163B28FD" w:rsidR="001E25D5" w:rsidRDefault="001E25D5" w:rsidP="001E25D5">
      <w:pPr>
        <w:pStyle w:val="Odlomakpopisa"/>
        <w:jc w:val="both"/>
      </w:pPr>
      <w:r w:rsidRPr="001E25D5">
        <w:t xml:space="preserve">Marketingom i promocijom privlače se posjetitelji, a njihov dolazak, boravak i sudjelovanje u raznim aktivnostima pomaže u promociji, buđenju svijesti o održivom ekosustavu te, u konačnici, ostvaruju se </w:t>
      </w:r>
      <w:r>
        <w:t xml:space="preserve">vlastiti </w:t>
      </w:r>
      <w:r w:rsidRPr="001E25D5">
        <w:t>prihodi Javne ustanove Garešnica.</w:t>
      </w:r>
      <w:r>
        <w:t xml:space="preserve"> </w:t>
      </w:r>
    </w:p>
    <w:p w14:paraId="30A46FE0" w14:textId="77777777" w:rsidR="001E25D5" w:rsidRDefault="001E25D5" w:rsidP="001E25D5">
      <w:pPr>
        <w:jc w:val="both"/>
      </w:pPr>
    </w:p>
    <w:p w14:paraId="47AB7382" w14:textId="516020AF" w:rsidR="00347168" w:rsidRDefault="00347168" w:rsidP="00347168">
      <w:pPr>
        <w:jc w:val="both"/>
      </w:pPr>
      <w:r w:rsidRPr="00347168">
        <w:t>POSEBNI CILJ: Pametan i održiv pristup upravljanju prostorom i resursima</w:t>
      </w:r>
    </w:p>
    <w:p w14:paraId="6FD2AE8A" w14:textId="007EE397" w:rsidR="00347168" w:rsidRDefault="00347168" w:rsidP="00347168">
      <w:pPr>
        <w:jc w:val="both"/>
      </w:pPr>
    </w:p>
    <w:p w14:paraId="1EEDCA49" w14:textId="22C5849B" w:rsidR="00347168" w:rsidRDefault="00347168" w:rsidP="00347168">
      <w:pPr>
        <w:jc w:val="both"/>
      </w:pPr>
      <w:r w:rsidRPr="00347168">
        <w:t>POVEZANOST PROGRAMA SA STRATEŠKIM DOKUMENTIMA:</w:t>
      </w:r>
    </w:p>
    <w:p w14:paraId="0E7CF38C" w14:textId="1F80142B" w:rsidR="00347168" w:rsidRDefault="00347168" w:rsidP="00347168">
      <w:pPr>
        <w:jc w:val="both"/>
      </w:pPr>
      <w:r w:rsidRPr="00347168">
        <w:t>Usklađenost ciljeva, strategije i programa temelji se na i Strategiji razvoja turizma grada Garešnice 2018.-2023,  osnovnom strateškom dokumentu  Strategija razvoja Grada Garešnica od 2016. - 2020. godine, Odluci o produljenju važenja Strategije Grada Garešnice 2016.-2020. na razdoblje do 31. prosinca 2022. godine  (Službeni glasnik 2/22) te Strategiji razvoja održivog turizma do 2030. godine.</w:t>
      </w:r>
    </w:p>
    <w:p w14:paraId="66D1424A" w14:textId="77777777" w:rsidR="00347168" w:rsidRDefault="00347168" w:rsidP="00347168">
      <w:pPr>
        <w:jc w:val="both"/>
      </w:pPr>
    </w:p>
    <w:p w14:paraId="1880EADE" w14:textId="177B0DE8" w:rsidR="00347168" w:rsidRDefault="00347168" w:rsidP="00347168">
      <w:pPr>
        <w:jc w:val="both"/>
      </w:pPr>
      <w:r>
        <w:t>ZAKONSKE I DRUGE PODLOGE NA KOJIMA SE PROGRAM ZASNIVA:</w:t>
      </w:r>
    </w:p>
    <w:p w14:paraId="24192757" w14:textId="77777777" w:rsidR="00347168" w:rsidRPr="00347168" w:rsidRDefault="00347168" w:rsidP="00347168">
      <w:pPr>
        <w:numPr>
          <w:ilvl w:val="0"/>
          <w:numId w:val="11"/>
        </w:numPr>
        <w:jc w:val="both"/>
      </w:pPr>
      <w:r w:rsidRPr="00347168">
        <w:t>Zakon o ustanovama (NN 76/93, 29/97, 47/99, 35/08, 127/19)</w:t>
      </w:r>
    </w:p>
    <w:p w14:paraId="7406E90D" w14:textId="77777777" w:rsidR="00347168" w:rsidRPr="00347168" w:rsidRDefault="00347168" w:rsidP="00347168">
      <w:pPr>
        <w:numPr>
          <w:ilvl w:val="0"/>
          <w:numId w:val="11"/>
        </w:numPr>
        <w:jc w:val="both"/>
      </w:pPr>
      <w:r w:rsidRPr="00347168">
        <w:t>Zakon o pružanju usluga u turizmu (NN 130/17, 25/19, 98/19, 42/20, 70/21)</w:t>
      </w:r>
    </w:p>
    <w:p w14:paraId="48279D9F" w14:textId="77777777" w:rsidR="00347168" w:rsidRPr="00347168" w:rsidRDefault="00347168" w:rsidP="00347168">
      <w:pPr>
        <w:numPr>
          <w:ilvl w:val="0"/>
          <w:numId w:val="11"/>
        </w:numPr>
        <w:jc w:val="both"/>
      </w:pPr>
      <w:r w:rsidRPr="00347168">
        <w:t>Zakon o trgovini (NN 87/08, 96/08, 116/08, 76/09, 114/11, 68/13, 30/14, 32/19, 98/19, 32/20)</w:t>
      </w:r>
    </w:p>
    <w:p w14:paraId="32D6A704" w14:textId="77777777" w:rsidR="00347168" w:rsidRPr="00347168" w:rsidRDefault="00347168" w:rsidP="00347168">
      <w:pPr>
        <w:numPr>
          <w:ilvl w:val="0"/>
          <w:numId w:val="11"/>
        </w:numPr>
        <w:jc w:val="both"/>
      </w:pPr>
      <w:r w:rsidRPr="00347168">
        <w:t>Statutom Javne ustanove za upravljanje Centrom za posjetitelje Garešnica (Službeni glasnik 10/22)</w:t>
      </w:r>
    </w:p>
    <w:p w14:paraId="6FD21E84" w14:textId="77777777" w:rsidR="00347168" w:rsidRPr="00347168" w:rsidRDefault="00347168" w:rsidP="00347168">
      <w:pPr>
        <w:numPr>
          <w:ilvl w:val="0"/>
          <w:numId w:val="11"/>
        </w:numPr>
        <w:jc w:val="both"/>
      </w:pPr>
      <w:r w:rsidRPr="00347168">
        <w:t>Pravilnikom o unutarnjem ustrojstvu i načinu rada Javne ustanove za upravljanje Centrom za posjetitelje Garešnica od 12. rujna 2022. godine</w:t>
      </w:r>
    </w:p>
    <w:p w14:paraId="6AE99487" w14:textId="77777777" w:rsidR="00347168" w:rsidRPr="00347168" w:rsidRDefault="00347168" w:rsidP="00347168">
      <w:pPr>
        <w:numPr>
          <w:ilvl w:val="0"/>
          <w:numId w:val="11"/>
        </w:numPr>
        <w:jc w:val="both"/>
      </w:pPr>
      <w:r w:rsidRPr="00347168">
        <w:t>Pravilnikom o radu i plaćama rada Javne ustanove za upravljanje Centrom za posjetitelje Garešnica od 12. rujna 2022. godine</w:t>
      </w:r>
    </w:p>
    <w:p w14:paraId="6D87E214" w14:textId="78F7AC83" w:rsidR="00347168" w:rsidRDefault="00347168" w:rsidP="00347168">
      <w:pPr>
        <w:jc w:val="both"/>
      </w:pPr>
    </w:p>
    <w:p w14:paraId="50A21241" w14:textId="74A31A68" w:rsidR="00C62A8A" w:rsidRDefault="00C62A8A" w:rsidP="00347168">
      <w:pPr>
        <w:jc w:val="both"/>
      </w:pPr>
    </w:p>
    <w:p w14:paraId="3038FCF8" w14:textId="154D933C" w:rsidR="00C62A8A" w:rsidRDefault="00C62A8A" w:rsidP="00347168">
      <w:pPr>
        <w:jc w:val="both"/>
      </w:pPr>
    </w:p>
    <w:p w14:paraId="5C160FCE" w14:textId="556935B7" w:rsidR="00C62A8A" w:rsidRDefault="00C62A8A" w:rsidP="00347168">
      <w:pPr>
        <w:jc w:val="both"/>
      </w:pPr>
    </w:p>
    <w:p w14:paraId="403E8C31" w14:textId="3A94FE0E" w:rsidR="00C62A8A" w:rsidRDefault="00C62A8A" w:rsidP="00347168">
      <w:pPr>
        <w:jc w:val="both"/>
      </w:pPr>
    </w:p>
    <w:p w14:paraId="00E33927" w14:textId="28144D62" w:rsidR="00C62A8A" w:rsidRDefault="00C62A8A" w:rsidP="00347168">
      <w:pPr>
        <w:jc w:val="both"/>
      </w:pPr>
    </w:p>
    <w:p w14:paraId="2DE975A1" w14:textId="70527C56" w:rsidR="00C62A8A" w:rsidRDefault="00C62A8A" w:rsidP="00347168">
      <w:pPr>
        <w:jc w:val="both"/>
      </w:pPr>
    </w:p>
    <w:p w14:paraId="2778E572" w14:textId="6406FB63" w:rsidR="00C62A8A" w:rsidRDefault="00C62A8A" w:rsidP="00347168">
      <w:pPr>
        <w:jc w:val="both"/>
      </w:pPr>
    </w:p>
    <w:p w14:paraId="0A4F8782" w14:textId="77777777" w:rsidR="00C62A8A" w:rsidRDefault="00C62A8A" w:rsidP="00C62A8A">
      <w:pPr>
        <w:ind w:left="5664" w:firstLine="708"/>
        <w:jc w:val="center"/>
      </w:pPr>
      <w:r>
        <w:t xml:space="preserve">RAVNATELJICA </w:t>
      </w:r>
    </w:p>
    <w:p w14:paraId="280E38CE" w14:textId="77777777" w:rsidR="00C62A8A" w:rsidRDefault="00C62A8A" w:rsidP="00C62A8A">
      <w:pPr>
        <w:jc w:val="right"/>
      </w:pPr>
    </w:p>
    <w:p w14:paraId="44A6019D" w14:textId="77777777" w:rsidR="00C62A8A" w:rsidRPr="0052236C" w:rsidRDefault="00C62A8A" w:rsidP="00C62A8A">
      <w:pPr>
        <w:jc w:val="right"/>
      </w:pPr>
      <w:r>
        <w:t xml:space="preserve">Nena Salopek, </w:t>
      </w:r>
      <w:proofErr w:type="spellStart"/>
      <w:r>
        <w:t>mag.turism.cult</w:t>
      </w:r>
      <w:proofErr w:type="spellEnd"/>
      <w:r>
        <w:t>.</w:t>
      </w:r>
    </w:p>
    <w:p w14:paraId="7AE6EEE9" w14:textId="77777777" w:rsidR="00C62A8A" w:rsidRDefault="00C62A8A" w:rsidP="00347168">
      <w:pPr>
        <w:jc w:val="both"/>
      </w:pPr>
    </w:p>
    <w:sectPr w:rsidR="00C62A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9086" w14:textId="77777777" w:rsidR="00B95783" w:rsidRDefault="00B95783" w:rsidP="001767E6">
      <w:r>
        <w:separator/>
      </w:r>
    </w:p>
  </w:endnote>
  <w:endnote w:type="continuationSeparator" w:id="0">
    <w:p w14:paraId="7F4809CF" w14:textId="77777777" w:rsidR="00B95783" w:rsidRDefault="00B95783" w:rsidP="0017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568063"/>
      <w:docPartObj>
        <w:docPartGallery w:val="Page Numbers (Bottom of Page)"/>
        <w:docPartUnique/>
      </w:docPartObj>
    </w:sdtPr>
    <w:sdtContent>
      <w:p w14:paraId="6B7A83F9" w14:textId="4C50D6F5" w:rsidR="001767E6" w:rsidRDefault="00A45E1D">
        <w:pPr>
          <w:pStyle w:val="Podnoje"/>
        </w:pPr>
        <w:r>
          <w:rPr>
            <w:noProof/>
          </w:rPr>
          <mc:AlternateContent>
            <mc:Choice Requires="wps">
              <w:drawing>
                <wp:anchor distT="0" distB="0" distL="114300" distR="114300" simplePos="0" relativeHeight="251659264" behindDoc="0" locked="0" layoutInCell="1" allowOverlap="1" wp14:anchorId="06840355" wp14:editId="43A3CCCD">
                  <wp:simplePos x="0" y="0"/>
                  <wp:positionH relativeFrom="rightMargin">
                    <wp:align>center</wp:align>
                  </wp:positionH>
                  <wp:positionV relativeFrom="bottomMargin">
                    <wp:align>center</wp:align>
                  </wp:positionV>
                  <wp:extent cx="565785" cy="191770"/>
                  <wp:effectExtent l="0" t="0" r="0" b="0"/>
                  <wp:wrapNone/>
                  <wp:docPr id="3"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180821D" w14:textId="77777777" w:rsidR="00A45E1D" w:rsidRDefault="00A45E1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840355" id="Pravokutni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180821D" w14:textId="77777777" w:rsidR="00A45E1D" w:rsidRDefault="00A45E1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C3CD" w14:textId="77777777" w:rsidR="00B95783" w:rsidRDefault="00B95783" w:rsidP="001767E6">
      <w:r>
        <w:separator/>
      </w:r>
    </w:p>
  </w:footnote>
  <w:footnote w:type="continuationSeparator" w:id="0">
    <w:p w14:paraId="7C4D571C" w14:textId="77777777" w:rsidR="00B95783" w:rsidRDefault="00B95783" w:rsidP="00176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0728"/>
    <w:multiLevelType w:val="hybridMultilevel"/>
    <w:tmpl w:val="584E14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5E2935"/>
    <w:multiLevelType w:val="hybridMultilevel"/>
    <w:tmpl w:val="902671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A35804"/>
    <w:multiLevelType w:val="hybridMultilevel"/>
    <w:tmpl w:val="CC161E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C91A4D"/>
    <w:multiLevelType w:val="hybridMultilevel"/>
    <w:tmpl w:val="486A69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814D09"/>
    <w:multiLevelType w:val="hybridMultilevel"/>
    <w:tmpl w:val="439E89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D4427D"/>
    <w:multiLevelType w:val="hybridMultilevel"/>
    <w:tmpl w:val="07BC2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BE55FF6"/>
    <w:multiLevelType w:val="hybridMultilevel"/>
    <w:tmpl w:val="546AF0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C7B20F9"/>
    <w:multiLevelType w:val="hybridMultilevel"/>
    <w:tmpl w:val="405C97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DAD7F42"/>
    <w:multiLevelType w:val="hybridMultilevel"/>
    <w:tmpl w:val="96EEA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D54D85"/>
    <w:multiLevelType w:val="hybridMultilevel"/>
    <w:tmpl w:val="F9C492E0"/>
    <w:lvl w:ilvl="0" w:tplc="041A000B">
      <w:start w:val="1"/>
      <w:numFmt w:val="bullet"/>
      <w:lvlText w:val=""/>
      <w:lvlJc w:val="left"/>
      <w:pPr>
        <w:ind w:left="1800" w:hanging="360"/>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63F02A87"/>
    <w:multiLevelType w:val="hybridMultilevel"/>
    <w:tmpl w:val="8EC8025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8AC4A76"/>
    <w:multiLevelType w:val="hybridMultilevel"/>
    <w:tmpl w:val="CC7410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CA5177F"/>
    <w:multiLevelType w:val="hybridMultilevel"/>
    <w:tmpl w:val="455AFA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08798256">
    <w:abstractNumId w:val="1"/>
  </w:num>
  <w:num w:numId="2" w16cid:durableId="286934072">
    <w:abstractNumId w:val="3"/>
  </w:num>
  <w:num w:numId="3" w16cid:durableId="663125759">
    <w:abstractNumId w:val="7"/>
  </w:num>
  <w:num w:numId="4" w16cid:durableId="1521815999">
    <w:abstractNumId w:val="12"/>
  </w:num>
  <w:num w:numId="5" w16cid:durableId="647324107">
    <w:abstractNumId w:val="0"/>
  </w:num>
  <w:num w:numId="6" w16cid:durableId="1179078792">
    <w:abstractNumId w:val="4"/>
  </w:num>
  <w:num w:numId="7" w16cid:durableId="1507137886">
    <w:abstractNumId w:val="2"/>
  </w:num>
  <w:num w:numId="8" w16cid:durableId="416102718">
    <w:abstractNumId w:val="9"/>
  </w:num>
  <w:num w:numId="9" w16cid:durableId="88893569">
    <w:abstractNumId w:val="8"/>
  </w:num>
  <w:num w:numId="10" w16cid:durableId="2060207014">
    <w:abstractNumId w:val="11"/>
  </w:num>
  <w:num w:numId="11" w16cid:durableId="1919288353">
    <w:abstractNumId w:val="10"/>
  </w:num>
  <w:num w:numId="12" w16cid:durableId="654455832">
    <w:abstractNumId w:val="5"/>
  </w:num>
  <w:num w:numId="13" w16cid:durableId="1930386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17"/>
    <w:rsid w:val="00004F87"/>
    <w:rsid w:val="0002278D"/>
    <w:rsid w:val="000236E7"/>
    <w:rsid w:val="00026D2B"/>
    <w:rsid w:val="00046A43"/>
    <w:rsid w:val="00051B8F"/>
    <w:rsid w:val="000621FE"/>
    <w:rsid w:val="00067A1C"/>
    <w:rsid w:val="00075D3E"/>
    <w:rsid w:val="000C1607"/>
    <w:rsid w:val="00106FE8"/>
    <w:rsid w:val="0011587F"/>
    <w:rsid w:val="00115B33"/>
    <w:rsid w:val="00117379"/>
    <w:rsid w:val="00170F1D"/>
    <w:rsid w:val="001767E6"/>
    <w:rsid w:val="00182240"/>
    <w:rsid w:val="001B4D32"/>
    <w:rsid w:val="001E25D5"/>
    <w:rsid w:val="001F1CD9"/>
    <w:rsid w:val="00200F27"/>
    <w:rsid w:val="00202C85"/>
    <w:rsid w:val="0026484F"/>
    <w:rsid w:val="002C2C88"/>
    <w:rsid w:val="00323B3F"/>
    <w:rsid w:val="0033511D"/>
    <w:rsid w:val="00347168"/>
    <w:rsid w:val="003664C8"/>
    <w:rsid w:val="003A3114"/>
    <w:rsid w:val="003A5AE7"/>
    <w:rsid w:val="003D76F3"/>
    <w:rsid w:val="003D79E3"/>
    <w:rsid w:val="00406F25"/>
    <w:rsid w:val="00450704"/>
    <w:rsid w:val="004A6D2D"/>
    <w:rsid w:val="004B489E"/>
    <w:rsid w:val="004C7EA7"/>
    <w:rsid w:val="004C7FE1"/>
    <w:rsid w:val="004E5D96"/>
    <w:rsid w:val="00501E5A"/>
    <w:rsid w:val="005029BB"/>
    <w:rsid w:val="005062D9"/>
    <w:rsid w:val="00556055"/>
    <w:rsid w:val="00582FB2"/>
    <w:rsid w:val="00583EF3"/>
    <w:rsid w:val="005A14D8"/>
    <w:rsid w:val="005B38A2"/>
    <w:rsid w:val="0062554E"/>
    <w:rsid w:val="00670243"/>
    <w:rsid w:val="006821AE"/>
    <w:rsid w:val="006B380A"/>
    <w:rsid w:val="006C2AF9"/>
    <w:rsid w:val="006D1462"/>
    <w:rsid w:val="006E6FDE"/>
    <w:rsid w:val="006F66E7"/>
    <w:rsid w:val="0070292C"/>
    <w:rsid w:val="00721B37"/>
    <w:rsid w:val="00722F49"/>
    <w:rsid w:val="00737427"/>
    <w:rsid w:val="00743548"/>
    <w:rsid w:val="00760C2F"/>
    <w:rsid w:val="007629D9"/>
    <w:rsid w:val="00765D7D"/>
    <w:rsid w:val="00771274"/>
    <w:rsid w:val="00771CF2"/>
    <w:rsid w:val="00794B33"/>
    <w:rsid w:val="007D1A36"/>
    <w:rsid w:val="00800321"/>
    <w:rsid w:val="008707CC"/>
    <w:rsid w:val="00870EF6"/>
    <w:rsid w:val="00875DE2"/>
    <w:rsid w:val="00881CD4"/>
    <w:rsid w:val="00884A50"/>
    <w:rsid w:val="008B6C68"/>
    <w:rsid w:val="009665F0"/>
    <w:rsid w:val="0097037B"/>
    <w:rsid w:val="009A395A"/>
    <w:rsid w:val="009D217E"/>
    <w:rsid w:val="009D4B62"/>
    <w:rsid w:val="009E2EF6"/>
    <w:rsid w:val="009E433B"/>
    <w:rsid w:val="009F4E21"/>
    <w:rsid w:val="00A05D6C"/>
    <w:rsid w:val="00A12705"/>
    <w:rsid w:val="00A2739F"/>
    <w:rsid w:val="00A45E1D"/>
    <w:rsid w:val="00A714C5"/>
    <w:rsid w:val="00AB10DB"/>
    <w:rsid w:val="00AB24F5"/>
    <w:rsid w:val="00AB2F95"/>
    <w:rsid w:val="00AB4564"/>
    <w:rsid w:val="00AB6104"/>
    <w:rsid w:val="00AE3B28"/>
    <w:rsid w:val="00AF4495"/>
    <w:rsid w:val="00B15B6F"/>
    <w:rsid w:val="00B15E1F"/>
    <w:rsid w:val="00B95783"/>
    <w:rsid w:val="00B97B50"/>
    <w:rsid w:val="00BC2639"/>
    <w:rsid w:val="00BF2261"/>
    <w:rsid w:val="00C34160"/>
    <w:rsid w:val="00C47F4C"/>
    <w:rsid w:val="00C54911"/>
    <w:rsid w:val="00C62A8A"/>
    <w:rsid w:val="00C633AD"/>
    <w:rsid w:val="00C737CB"/>
    <w:rsid w:val="00C77A35"/>
    <w:rsid w:val="00CB30CE"/>
    <w:rsid w:val="00CC1999"/>
    <w:rsid w:val="00CC3C89"/>
    <w:rsid w:val="00D0609D"/>
    <w:rsid w:val="00D20A7C"/>
    <w:rsid w:val="00D418BD"/>
    <w:rsid w:val="00D41ACF"/>
    <w:rsid w:val="00D63012"/>
    <w:rsid w:val="00D91DDA"/>
    <w:rsid w:val="00DB4E17"/>
    <w:rsid w:val="00DF370C"/>
    <w:rsid w:val="00E26BBC"/>
    <w:rsid w:val="00E45586"/>
    <w:rsid w:val="00E53F11"/>
    <w:rsid w:val="00E9185D"/>
    <w:rsid w:val="00F27C46"/>
    <w:rsid w:val="00F53AAE"/>
    <w:rsid w:val="00F7247C"/>
    <w:rsid w:val="00F84C2D"/>
    <w:rsid w:val="00F853E4"/>
    <w:rsid w:val="00FB0CAE"/>
    <w:rsid w:val="00FF23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027D"/>
  <w15:chartTrackingRefBased/>
  <w15:docId w15:val="{5E6C816F-FD9D-411C-B6A2-39DF633E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AA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53AAE"/>
    <w:pPr>
      <w:ind w:left="720"/>
      <w:contextualSpacing/>
    </w:pPr>
  </w:style>
  <w:style w:type="table" w:styleId="Reetkatablice">
    <w:name w:val="Table Grid"/>
    <w:basedOn w:val="Obinatablica"/>
    <w:uiPriority w:val="39"/>
    <w:rsid w:val="0002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767E6"/>
    <w:pPr>
      <w:tabs>
        <w:tab w:val="center" w:pos="4536"/>
        <w:tab w:val="right" w:pos="9072"/>
      </w:tabs>
    </w:pPr>
  </w:style>
  <w:style w:type="character" w:customStyle="1" w:styleId="ZaglavljeChar">
    <w:name w:val="Zaglavlje Char"/>
    <w:basedOn w:val="Zadanifontodlomka"/>
    <w:link w:val="Zaglavlje"/>
    <w:uiPriority w:val="99"/>
    <w:rsid w:val="001767E6"/>
  </w:style>
  <w:style w:type="paragraph" w:styleId="Podnoje">
    <w:name w:val="footer"/>
    <w:basedOn w:val="Normal"/>
    <w:link w:val="PodnojeChar"/>
    <w:uiPriority w:val="99"/>
    <w:unhideWhenUsed/>
    <w:rsid w:val="001767E6"/>
    <w:pPr>
      <w:tabs>
        <w:tab w:val="center" w:pos="4536"/>
        <w:tab w:val="right" w:pos="9072"/>
      </w:tabs>
    </w:pPr>
  </w:style>
  <w:style w:type="character" w:customStyle="1" w:styleId="PodnojeChar">
    <w:name w:val="Podnožje Char"/>
    <w:basedOn w:val="Zadanifontodlomka"/>
    <w:link w:val="Podnoje"/>
    <w:uiPriority w:val="99"/>
    <w:rsid w:val="001767E6"/>
  </w:style>
  <w:style w:type="table" w:styleId="Svijetlareetkatablice">
    <w:name w:val="Grid Table Light"/>
    <w:basedOn w:val="Obinatablica"/>
    <w:uiPriority w:val="40"/>
    <w:rsid w:val="001822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32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6</Pages>
  <Words>2552</Words>
  <Characters>14552</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Obrovac</dc:creator>
  <cp:keywords/>
  <dc:description/>
  <cp:lastModifiedBy>Josip Bilandžija</cp:lastModifiedBy>
  <cp:revision>109</cp:revision>
  <cp:lastPrinted>2022-12-12T12:04:00Z</cp:lastPrinted>
  <dcterms:created xsi:type="dcterms:W3CDTF">2022-10-13T10:18:00Z</dcterms:created>
  <dcterms:modified xsi:type="dcterms:W3CDTF">2022-12-12T12:06:00Z</dcterms:modified>
</cp:coreProperties>
</file>