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7b27037ca46b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34678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 GAREŠNICA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1.996.296,25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2.394.926,85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1.870.423,45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1.954.155,11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125.872,80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440.771,74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350,2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20.909,01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513,98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424.273,93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886.066,55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403.364,92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885.552,57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219,5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93.748,24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17.199,06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76.549,18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277.492,12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368.231,65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132,7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Temeljem sastavljenog Izvještaja o prihodima i rashodima, primicima i izdacima za razdoblje od 01.01. do 31.03.2026. godine (obrazac PR-RAS) utvrđeni su ukupni prihodi i primici u iznosu od 2.489.189,07 eura i ukupni rashodi i izdaci u iznosu od 2.857.420,72 eura što rezultira  ukupnim manjkom prihoda i primitaka u iznosu od 368.231,65 eura. Negativan financijski rezultat ovog razdoblja rezultat je trošenja prenesenog viška iz protekle godine u iznosu od 695.826,69 eura, tako da ukupan višak prihoda i primitaka raspoloživ u sljedećem razdoblju iznosi 327.595,04 eura.</w:t>
      </w:r>
    </w:p>
    <w:p>
      <w:pPr>
        <w:jc w:val="both"/>
      </w:pPr>
      <w:r>
        <w:t xml:space="preserve">Povećanje prihoda poslovanja u odnosu na isto razdoblje prošle godine, evidentirano je u iznosu od 20% i isto se odnosi na povećanje prihoda od poreza na dohodak u iznosu od 22,3% i prihoda od imovine u iznosu od 209,1% (Hrvatski telekom d.d. isplatio je naknadu za pravo puta temeljem Presude i Rješenja Visokog trgovačkog suda RH od 6.11.2025. godine (ovršno 10.1.2026. godine). Rashodi poslovanja povećani su za 4,5%, a najveće povećanje čini porast materijalnih i financijskih rashoda.</w:t>
      </w:r>
    </w:p>
    <w:p>
      <w:pPr>
        <w:jc w:val="both"/>
      </w:pPr>
      <w:r>
        <w:t xml:space="preserve">Prihodi od prodaje nefinancijske imovine smanjeni su za 97,5% iz razloga što u ovom izvještajnom razdoblju nismo ostvarili prodaju nekretnina u vlasništvu Grada Garešnice, koja je evidentirana u prošloj godini. Rashodi za nabavu nefinancijske imovine povećani su za 108,8% iz razloga provođenja kapitalnog projekta  Rekonstrukcija Ulice Vladimira Nazora i Trga hrvatskih branitelja koji se nije provodio u istom razdoblju prošle godine.</w:t>
      </w:r>
    </w:p>
    <w:p>
      <w:pPr>
        <w:jc w:val="both"/>
      </w:pPr>
      <w:r>
        <w:t xml:space="preserve">Primici od financijske imovine i zaduživanja iznose 93.748,24 eura, a ostvareni su temeljem potpisanog Ugovora o dugoročnom zaduživanju za kapitalne projekte, broj 505002591954  sa Erste &amp; Steiermarkische bank d.d. temeljem Suglasnosti Vlade RH. Izdaci predstavljaju otplatu dugoročnog kredita temeljem potpisanog Ugovora o dugoročnom zaduživanju za kapitalne projekte, broj 5002512364  sa Erste &amp; Steiermarkische bank d.d. temeljem Suglasnosti Vlade RH.</w:t>
      </w:r>
    </w:p>
    <w:p>
      <w:pPr>
        <w:jc w:val="both"/>
      </w:pPr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1.996.296,25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2.394.926,85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120,0</w:t>
            </w:r>
          </w:p>
        </w:tc>
      </w:tr>
    </w:tbl>
    <w:p>
      <w:pPr>
        <w:spacing w:before="0" w:after="0"/>
      </w:pPr>
    </w:p>
    <w:p>
      <w:r>
        <w:t xml:space="preserve">Prihodi poslovanja povećani su za 20% a najveće povećanje bilježe prihodi od poreza, prihodi od imovine i prihodi po posebnim propisima (doprinosi za šume).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27.832,20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34.900,81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125,4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Poreze na imovinu sačinjavaju: porez na nekretnine (nije evidentiran u istom razdoblju prošle godine) u iznosu od 3.792,42 eura i porez na promet nekretnina u iznosu od 31.108,39 eura koji bilježi povećanje od 11,8%.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robu i usluge (šifre 6141 do 61476148)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1.572,15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0,1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Odlukom Gradskog vijeća koja je stupila na snagu 1. siječnja 2025. godine („Službeni glasnik Grada Garešnice“, br. 15/24) ukinut je porez na potrošnju alkoholnih i bezalkoholnih pića (6142)  što je uzrok velikog smanjenja istog. Ostvareni prihod je rezultat naplate dugovanja iz proteklih godina.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201.850,76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150.855,82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74,7</w:t>
            </w:r>
          </w:p>
        </w:tc>
      </w:tr>
    </w:tbl>
    <w:p>
      <w:pPr>
        <w:spacing w:before="0" w:after="0"/>
      </w:pPr>
    </w:p>
    <w:p>
      <w:r>
        <w:t xml:space="preserve">Tekuće pomoći iz drugih proračuna iznose 150.855,82 eura i smanjene su za 25,3% a sastoje se od: </w:t>
      </w:r>
    </w:p>
    <w:p>
      <w:pPr>
        <w:pStyle w:val="ListParagraph"/>
        <w:numPr>
          <w:ilvl w:val="0"/>
          <w:numId w:val="2"/>
        </w:numPr>
      </w:pPr>
      <w:r>
        <w:t xml:space="preserve">pomoći iz državnog proračuna za fiskalnu održivost dječjih vrtića u iznosu od 137.967,00 eura</w:t>
      </w:r>
    </w:p>
    <w:p>
      <w:pPr>
        <w:pStyle w:val="ListParagraph"/>
        <w:numPr>
          <w:ilvl w:val="0"/>
          <w:numId w:val="2"/>
        </w:numPr>
      </w:pPr>
      <w:r>
        <w:t xml:space="preserve">pomoći iz općinskog proračuna za sufinanciranje decentraliziranih funkcija vatrogastvo u iznosu od 12.888,82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izravnanja za decentralizirane funkcije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130.436,07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124.926,34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95,8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Tekuće pomoći izravnanja za decentralizirane funkcije  sastoje se od: tekućih pomoći izravnanja za decentralizirane funkcije – vatrogastvo u iznosu od 63.739,39 € i tekućih pomoći izravnanja za decentralizirane funkcije – osnovno školstvo u iznosu od 61.186,95 €. Iste su smanjene za 4,2% u odnosu na proteklu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133.024,20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169.958,67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127,8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Tekuće pomoći temeljem prijenosa EU sredstava  iznose 169.958,67 eura i odnose se na pomoći za EU projekte: „Nikad nije kasno – faza IV“  u iznosu od 137.368,83 eura (Izvori 561 i 5012) , „Školska shema“ u iznosu od 89,84 eura (Izvor 5012 i 541), "Pomoćnici u nastavi faza VII" u iznosu od 32.500,00 eura (Izvori 561 i 5012).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76.688,63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237.007,28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309,1</w:t>
            </w:r>
          </w:p>
        </w:tc>
      </w:tr>
    </w:tbl>
    <w:p>
      <w:pPr>
        <w:spacing w:before="0" w:after="0"/>
      </w:pPr>
    </w:p>
    <w:p>
      <w:r>
        <w:t xml:space="preserve">Prihodi od imovine bilježe povećanje od 209,1% a sastoje se od prihoda od prihoda od financijske imovine u iznosu od 74.611,69 eura i prihoda od nefinancijske imovine u iznosu od 162.395,59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zateznih kamata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74.608,14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Prihodi od zateznih kamata bilježe veliko povećanje iz razloga isplate zateznih kamata od strane  Hrvatskog telekoma d.d. temeljem Presude i Rješenja Visokog trgovačkog suda RH od 6.11.2025. godine (ovršno 10.1.2026. godine).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48.524,51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38.820,15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80,0</w:t>
            </w:r>
          </w:p>
        </w:tc>
      </w:tr>
    </w:tbl>
    <w:p>
      <w:pPr>
        <w:spacing w:before="0" w:after="0"/>
      </w:pPr>
    </w:p>
    <w:p>
      <w:r>
        <w:t xml:space="preserve">Prihodi od zakupa i iznajmljivanja imovine bilježe smanjenje od 20% i iste sačinjavaju: </w:t>
      </w:r>
    </w:p>
    <w:p>
      <w:pPr>
        <w:pStyle w:val="ListParagraph"/>
        <w:numPr>
          <w:ilvl w:val="0"/>
          <w:numId w:val="2"/>
        </w:numPr>
      </w:pPr>
      <w:r>
        <w:t xml:space="preserve">prihodi od zakupa poljoprivrednog zemljišta u vlasništvu RH u iznosu od 20.062,42 eura,</w:t>
      </w:r>
    </w:p>
    <w:p>
      <w:pPr>
        <w:pStyle w:val="ListParagraph"/>
        <w:numPr>
          <w:ilvl w:val="0"/>
          <w:numId w:val="2"/>
        </w:numPr>
      </w:pPr>
      <w:r>
        <w:t xml:space="preserve">prihodi od iznajmljivanja stambenih objekata u iznosu od 452,75 eura,</w:t>
      </w:r>
    </w:p>
    <w:p>
      <w:pPr>
        <w:pStyle w:val="ListParagraph"/>
        <w:numPr>
          <w:ilvl w:val="0"/>
          <w:numId w:val="2"/>
        </w:numPr>
      </w:pPr>
      <w:r>
        <w:t xml:space="preserve">prihodi od zakupa poslovnih objekata u iznosu od 16.779,34 eura i</w:t>
      </w:r>
    </w:p>
    <w:p>
      <w:pPr>
        <w:pStyle w:val="ListParagraph"/>
        <w:numPr>
          <w:ilvl w:val="0"/>
          <w:numId w:val="2"/>
        </w:numPr>
      </w:pPr>
      <w:r>
        <w:t xml:space="preserve">prihodi od zakupa javnih površina u iznosu od 1.525,64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Naknada za korištenje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28.024,48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123.575,44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441,0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Naknada za korištenje nefinancijske imovine bilježi veliko povećanje iz razloga isplate naknade za pravo puta od strane  Hrvatskog telekoma d.d. temeljem Presude i Rješenja Visokog trgovačkog suda RH od 6.11.2025. godine (ovršno 10.1.2026. godine). </w:t>
      </w:r>
    </w:p>
    <w:p>
      <w:pPr>
        <w:jc w:val="both"/>
      </w:pPr>
      <w:r>
        <w:t xml:space="preserve">Iste sačinjavaju: spomeničku rentu u iznosu od 10,30 eura, naknadu za pravo puta u iznosu od 121.640,66 eura i naknadu za pravo građenja u iznosu od 1.924,48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238,36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198,7</w:t>
            </w:r>
          </w:p>
        </w:tc>
      </w:tr>
    </w:tbl>
    <w:p>
      <w:pPr>
        <w:spacing w:before="0" w:after="0"/>
      </w:pPr>
    </w:p>
    <w:p>
      <w:r>
        <w:t xml:space="preserve">Na istima evidentiramo prihode od turističke pristojbe.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 posebnim propisima (šifre 6521 do 6528)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105.544,26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157.150,78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148,9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Prihode po posebnim propisima čine: vodni doprinos, doprinos za šume, povrati stipendija i naknada za promjenu namjene poljoprivrednog zemljišta. Isti bilježe povećanje o 48,9% radi povećanog prihoda od doprinosa za šume.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1.792,30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532,98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29,7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Ostali nespomenuti prihodi sačinjavaju prihode od povrata stipendija u iznosu od 500,00 eura i naknadu za promjenu namjene poljoprivrednog zemljišta u iznosu od 32,98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399,01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13.510,49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3386,0</w:t>
            </w:r>
          </w:p>
        </w:tc>
      </w:tr>
    </w:tbl>
    <w:p>
      <w:pPr>
        <w:spacing w:before="0" w:after="0"/>
      </w:pPr>
    </w:p>
    <w:p>
      <w:r>
        <w:t xml:space="preserve">Prihod od komunalnog doprinosa bilježi povećanje temeljem naplate obračnatih prihoda iz protekle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5.775,72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4.896,51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84,8</w:t>
            </w:r>
          </w:p>
        </w:tc>
      </w:tr>
    </w:tbl>
    <w:p>
      <w:pPr>
        <w:spacing w:before="0" w:after="0"/>
      </w:pPr>
    </w:p>
    <w:p>
      <w:r>
        <w:t xml:space="preserve">Prihodi od pruženih usluga  odnose se na fakturiranje usluge obračuna i naplate naknade za uređenje voda koju obavljamo za Hrvatske vode i isporuku proizvedenog viška električne energije HEP-u.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44.967,68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Isti prihodi predstavljaju kapitalne donacije od fizičkih osoba, odnosno naslijeđenu ošasnu imovina (građevinska zemljišta) temeljem Rješenja o nasljeđivanju.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44.967,68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Isti predstavljaju prihode naslijeđene ošasne imovina (građevinska zemljišta) od fizičkih osoba temeljem Rješenja o nasljeđivanju.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5.034,31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15.963,67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317,1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Isti prihodi predstavljaju naplaćene parnične i ovršne troškove, te prefakturirane režijske troškove temeljem korištenja/zakupa poslovnih prostora u vlasništvu Grada Garešnice.</w:t>
      </w:r>
    </w:p>
    <w:p>
      <w:pPr>
        <w:jc w:val="both"/>
      </w:pPr>
      <w:r>
        <w:t xml:space="preserve">Evidentirano povećanje je rezultat naplaćenog parničnog troška od Hrvatskog telekoma d.d. temeljem PresudePresude Visokog trgovačkog suda RH od 6.11.2025. godine (ovršno 10.1.2026. godine).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1.870.423,45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1.954.155,11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104,5</w:t>
            </w:r>
          </w:p>
        </w:tc>
      </w:tr>
    </w:tbl>
    <w:p>
      <w:pPr>
        <w:spacing w:before="0" w:after="0"/>
      </w:pPr>
    </w:p>
    <w:p>
      <w:r>
        <w:t xml:space="preserve">Rashodi poslovanja povećani su za 4,5%, a najveće povećanje čini porast materijalnih i financijskih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335.820,12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413.983,63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123,3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Materijalni rashodi povećani su za 23,3% a najveće povećanje bilježe troškovi energije, usluge tekućeg i investicijskog održavanja te intelektualne usluge.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45.475,83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60.516,21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133,1</w:t>
            </w:r>
          </w:p>
        </w:tc>
      </w:tr>
    </w:tbl>
    <w:p>
      <w:pPr>
        <w:spacing w:before="0" w:after="0"/>
      </w:pPr>
    </w:p>
    <w:p>
      <w:r>
        <w:t xml:space="preserve">Najveće povećanje je evidentirano na potrošnji električne energije i plina.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75.056,70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122.562,07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163,3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Iste usluge obuhvaćaju tekuće i investicijsko održavanje objekata i opreme, te komunalne infrastrukture u vlasništvu Grada Grešnice. Najveće povećanje u odnosu na prošlu godinu bilježe troškovi održavanja nerazvrstanih cesta, zimske službe, javne rasvjete  te postrojenja i opreme.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47.215,71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95.402,35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202,1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Intelektualne i osobne usluge sadržavaju troškove odvjetnika, geodetsko katastarske usluge te ostale intelektualne usluge (izrade mišljenja, prijava i izvješća za projekte, usluge kod provođenja javne nabave). Najveće povećanje je evidentirano kod odvjetničkih usluga iz razloga fakturiranja odvjetničke nagrade temeljem Ugovora i naplaćene Presude i rješenja Visokog trgovačkog suda Pž-4016/2025-9, te ostalih intelektualnih usluga.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31.012,08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36.027,16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116,2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Ostale usluge obuhvaćaju grafičke i tiskarske usluge, usluge pri registraciji prijevoznih sredstava, usluge čišćenja, usluge čuvanja imovine, naknadu za energetsku uslugu (u iznosu od 25.024,23 eura), naknadu Poreznoj upravi za usluge evidentiranja i naplate poreza (u iznosu od 10.004,87 eura).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Članarine i norme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2.449,03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3.443,51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140,6</w:t>
            </w:r>
          </w:p>
        </w:tc>
      </w:tr>
    </w:tbl>
    <w:p>
      <w:pPr>
        <w:spacing w:before="0" w:after="0"/>
      </w:pPr>
    </w:p>
    <w:p>
      <w:r>
        <w:t xml:space="preserve">Iste članarine predstavljaju troškove članarina Udruzi Gradova i LAG Moslavina.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1318,2</w:t>
            </w:r>
          </w:p>
        </w:tc>
      </w:tr>
    </w:tbl>
    <w:p>
      <w:pPr>
        <w:spacing w:before="0" w:after="0"/>
      </w:pPr>
    </w:p>
    <w:p>
      <w:r>
        <w:t xml:space="preserve">Isti troškovi predstavljaju troškove protokola (cvijeće i vijenci).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2.093,17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17.377,86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830,2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Isti troškovi predstavljaju interkalarne i redovne kamate na korištena sredstva dugoročnih kredita  sukladno Ugovorima o dugoročnom zaduživanju za kapitalne projekte  broj: 5002512364  i 5002591954 sklopljenim sa Erste &amp; Steiermaerkische Bank d.d. temeljem Suglasnosti Vlade RH.</w:t>
      </w:r>
    </w:p>
    <w:p>
      <w:pPr>
        <w:jc w:val="both"/>
      </w:pPr>
      <w:r>
        <w:t xml:space="preserve">Isti troškovi su u malom obimu bili evidentirani u istom razdoblju prošle proračunske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725.569,12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657.189,14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90,6</w:t>
            </w:r>
          </w:p>
        </w:tc>
      </w:tr>
    </w:tbl>
    <w:p>
      <w:pPr>
        <w:spacing w:before="0" w:after="0"/>
      </w:pPr>
    </w:p>
    <w:p>
      <w:r>
        <w:t xml:space="preserve">Prijenosi proračunskim korisnicima Grada Garešnice za financiranje redovne djelatnosti smanjeni su za 9,4%  i po korisnicima iznose:</w:t>
      </w:r>
    </w:p>
    <w:p>
      <w:pPr>
        <w:pStyle w:val="ListParagraph"/>
        <w:numPr>
          <w:ilvl w:val="0"/>
          <w:numId w:val="2"/>
        </w:numPr>
      </w:pPr>
      <w:r>
        <w:t xml:space="preserve">Javna vatrogasna postrojba  u iznosu od 213.698,87 €,</w:t>
      </w:r>
    </w:p>
    <w:p>
      <w:pPr>
        <w:pStyle w:val="ListParagraph"/>
        <w:numPr>
          <w:ilvl w:val="0"/>
          <w:numId w:val="2"/>
        </w:numPr>
      </w:pPr>
      <w:r>
        <w:t xml:space="preserve">Dječji vrtić „Maslačak“  u iznosu od 258.008,10 €,</w:t>
      </w:r>
    </w:p>
    <w:p>
      <w:pPr>
        <w:pStyle w:val="ListParagraph"/>
        <w:numPr>
          <w:ilvl w:val="0"/>
          <w:numId w:val="2"/>
        </w:numPr>
      </w:pPr>
      <w:r>
        <w:t xml:space="preserve">Hrvatska knjižnica i čitaonica „Đuro Sudeta“  u iznosu od 31.202,04 €,</w:t>
      </w:r>
    </w:p>
    <w:p>
      <w:pPr>
        <w:pStyle w:val="ListParagraph"/>
        <w:numPr>
          <w:ilvl w:val="0"/>
          <w:numId w:val="2"/>
        </w:numPr>
      </w:pPr>
      <w:r>
        <w:t xml:space="preserve">Javna ustanova za upravljanje Centrom za posjetitelje Garešnica  u iznosu od 52.080,03 €,</w:t>
      </w:r>
    </w:p>
    <w:p>
      <w:pPr>
        <w:pStyle w:val="ListParagraph"/>
        <w:numPr>
          <w:ilvl w:val="0"/>
          <w:numId w:val="2"/>
        </w:numPr>
      </w:pPr>
      <w:r>
        <w:t xml:space="preserve">Osnovna škola Garešnica  u iznosu od 76.855,92 €,</w:t>
      </w:r>
    </w:p>
    <w:p>
      <w:pPr>
        <w:pStyle w:val="ListParagraph"/>
        <w:numPr>
          <w:ilvl w:val="0"/>
          <w:numId w:val="2"/>
        </w:numPr>
      </w:pPr>
      <w:r>
        <w:t xml:space="preserve">Osnovna škola Trnovitički Popovac  u iznosu od 25.344,18 €.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717.722,02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633.934,73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88,3</w:t>
            </w:r>
          </w:p>
        </w:tc>
      </w:tr>
    </w:tbl>
    <w:p>
      <w:pPr>
        <w:spacing w:before="0" w:after="0"/>
      </w:pPr>
    </w:p>
    <w:p>
      <w:r>
        <w:t xml:space="preserve">Prijenosi proračunskim korisnicima Grada Garešnice za financiranje rashoda poslovanja smanjeni su za 11,7%  i po korisnicima iznose:</w:t>
      </w:r>
    </w:p>
    <w:p>
      <w:pPr>
        <w:pStyle w:val="ListParagraph"/>
        <w:numPr>
          <w:ilvl w:val="0"/>
          <w:numId w:val="2"/>
        </w:numPr>
      </w:pPr>
      <w:r>
        <w:t xml:space="preserve">Javna vatrogasna postrojba  u iznosu od 211.776,91 €,</w:t>
      </w:r>
    </w:p>
    <w:p>
      <w:pPr>
        <w:pStyle w:val="ListParagraph"/>
        <w:numPr>
          <w:ilvl w:val="0"/>
          <w:numId w:val="2"/>
        </w:numPr>
      </w:pPr>
      <w:r>
        <w:t xml:space="preserve">Dječji vrtić „Maslačak“  u iznosu od 257.879,20 €,</w:t>
      </w:r>
    </w:p>
    <w:p>
      <w:pPr>
        <w:pStyle w:val="ListParagraph"/>
        <w:numPr>
          <w:ilvl w:val="0"/>
          <w:numId w:val="2"/>
        </w:numPr>
      </w:pPr>
      <w:r>
        <w:t xml:space="preserve">Hrvatska knjižnica i čitaonica „Đuro Sudeta“  u iznosu od 27.227,96 €</w:t>
      </w:r>
    </w:p>
    <w:p>
      <w:pPr>
        <w:pStyle w:val="ListParagraph"/>
        <w:numPr>
          <w:ilvl w:val="0"/>
          <w:numId w:val="2"/>
        </w:numPr>
      </w:pPr>
      <w:r>
        <w:t xml:space="preserve">Javna ustanova za upravljanje Centrom za posjetitelje Garešnica  u iznosu od 48.945,23 €,</w:t>
      </w:r>
    </w:p>
    <w:p>
      <w:pPr>
        <w:pStyle w:val="ListParagraph"/>
        <w:numPr>
          <w:ilvl w:val="0"/>
          <w:numId w:val="2"/>
        </w:numPr>
      </w:pPr>
      <w:r>
        <w:t xml:space="preserve">Osnovna škola Garešnica  u iznosu od 63.321,25 €,</w:t>
      </w:r>
    </w:p>
    <w:p>
      <w:pPr>
        <w:pStyle w:val="ListParagraph"/>
        <w:numPr>
          <w:ilvl w:val="0"/>
          <w:numId w:val="2"/>
        </w:numPr>
      </w:pPr>
      <w:r>
        <w:t xml:space="preserve">Osnovna škola Trnovitički Popovac  u iznosu od 24.784,18 €.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7.847,10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23.254,41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296,3</w:t>
            </w:r>
          </w:p>
        </w:tc>
      </w:tr>
    </w:tbl>
    <w:p>
      <w:pPr>
        <w:spacing w:before="0" w:after="0"/>
      </w:pPr>
    </w:p>
    <w:p>
      <w:r>
        <w:t xml:space="preserve">Prijenosi proračunskim korisnicima Grada Garešnice za nabavu nefinancijske imovine povećani su za 196,3% i po korisnicima iznose:</w:t>
      </w:r>
    </w:p>
    <w:p>
      <w:pPr>
        <w:pStyle w:val="ListParagraph"/>
        <w:numPr>
          <w:ilvl w:val="0"/>
          <w:numId w:val="2"/>
        </w:numPr>
      </w:pPr>
      <w:r>
        <w:t xml:space="preserve">Javna vatrogasna postrojba  u iznosu od 1.921,96 €,</w:t>
      </w:r>
    </w:p>
    <w:p>
      <w:pPr>
        <w:pStyle w:val="ListParagraph"/>
        <w:numPr>
          <w:ilvl w:val="0"/>
          <w:numId w:val="2"/>
        </w:numPr>
      </w:pPr>
      <w:r>
        <w:t xml:space="preserve">Dječji vrtić „Maslačak“  u iznosu od 128,90 €,</w:t>
      </w:r>
    </w:p>
    <w:p>
      <w:pPr>
        <w:pStyle w:val="ListParagraph"/>
        <w:numPr>
          <w:ilvl w:val="0"/>
          <w:numId w:val="2"/>
        </w:numPr>
      </w:pPr>
      <w:r>
        <w:t xml:space="preserve">Hrvatska knjižnica i čitaonica „Đuro Sudeta“  u iznosu od 3.974,08 €,</w:t>
      </w:r>
    </w:p>
    <w:p>
      <w:pPr>
        <w:pStyle w:val="ListParagraph"/>
        <w:numPr>
          <w:ilvl w:val="0"/>
          <w:numId w:val="2"/>
        </w:numPr>
      </w:pPr>
      <w:r>
        <w:t xml:space="preserve">Javna ustanova za upravljanje Centrom za posjetitelje Garešnica  u iznosu od 3.134,80 €,</w:t>
      </w:r>
    </w:p>
    <w:p>
      <w:pPr>
        <w:pStyle w:val="ListParagraph"/>
        <w:numPr>
          <w:ilvl w:val="0"/>
          <w:numId w:val="2"/>
        </w:numPr>
      </w:pPr>
      <w:r>
        <w:t xml:space="preserve">Osnovna škola Garešnica  u iznosu od 13.534,67 €,</w:t>
      </w:r>
    </w:p>
    <w:p>
      <w:pPr>
        <w:pStyle w:val="ListParagraph"/>
        <w:numPr>
          <w:ilvl w:val="0"/>
          <w:numId w:val="2"/>
        </w:numPr>
      </w:pPr>
      <w:r>
        <w:t xml:space="preserve">Osnovna škola Trnovitički Popovac  u iznosu od 560,00 €.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između proračunskih korisnika istog proračuna (šifre 3691 do 3694)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15.430,29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14.474,27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93,8</w:t>
            </w:r>
          </w:p>
        </w:tc>
      </w:tr>
    </w:tbl>
    <w:p>
      <w:pPr>
        <w:spacing w:before="0" w:after="0"/>
      </w:pPr>
    </w:p>
    <w:p>
      <w:r>
        <w:t xml:space="preserve">Prijenosi proračunskim korisnicima iz proračuna Grada Garešnice povezani su sa projektima „Pomoćnici u nastavi – faza VII“ i "Školska shema" čiji su korisnici Osnovna škola Garešnica i Osnovna škola Trnovitički Popovac.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Tekući prijenosi između proračunskih korisnika istog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2.314,52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2.172,82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93,9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Prijenosi proračunskim korisnicima iz proračuna Grada Garešnice  iznose 2.172,82 € za projekte „Pomoćnici u nastavi – faza VII“ i "Školska shema", a predstavljaju iznos nacionalng sufinanciranja u EU projektu.</w:t>
      </w:r>
    </w:p>
    <w:p>
      <w:r>
        <w:t xml:space="preserve">Iznosi prijenosa po školama su: </w:t>
      </w:r>
    </w:p>
    <w:p>
      <w:pPr>
        <w:pStyle w:val="ListParagraph"/>
        <w:numPr>
          <w:ilvl w:val="0"/>
          <w:numId w:val="2"/>
        </w:numPr>
      </w:pPr>
      <w:r>
        <w:t xml:space="preserve">Osnovnoj školi Garešnica u iznosu od 1.045,79 €, -</w:t>
      </w:r>
    </w:p>
    <w:p>
      <w:pPr>
        <w:pStyle w:val="ListParagraph"/>
        <w:numPr>
          <w:ilvl w:val="0"/>
          <w:numId w:val="2"/>
        </w:numPr>
      </w:pPr>
      <w:r>
        <w:t xml:space="preserve">Osnovnoj školi Trnovitički Popovac u iznosu od 1.127,03 €.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Tekući prijenosi između proračunskih korisnika istog proračuna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13.115,77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12.301,45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93,8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Prijenosi proračunskim korisnicima iz proračuna Grada Garešnice temeljem prijenosa EU sredstava  iznose 12.301,45 € za projekte „Pomoćnici u nastavi – faza VII“ i "Školska shema".</w:t>
      </w:r>
    </w:p>
    <w:p>
      <w:r>
        <w:t xml:space="preserve">Iznosi prijenosa po školama su:</w:t>
      </w:r>
    </w:p>
    <w:p>
      <w:pPr>
        <w:pStyle w:val="ListParagraph"/>
        <w:numPr>
          <w:ilvl w:val="0"/>
          <w:numId w:val="2"/>
        </w:numPr>
      </w:pPr>
      <w:r>
        <w:t xml:space="preserve">Osnovnoj školi Garešnica u iznosu od 5.926,17 €,</w:t>
      </w:r>
    </w:p>
    <w:p>
      <w:pPr>
        <w:pStyle w:val="ListParagraph"/>
        <w:numPr>
          <w:ilvl w:val="0"/>
          <w:numId w:val="2"/>
        </w:numPr>
      </w:pPr>
      <w:r>
        <w:t xml:space="preserve">Osnovnoj školi Trnovitički Popovac u iznosu od 6.375,28 €.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28.232,64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49.106,89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173,9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Naknade građanima i kućanstvima u novcu povećane su za 73,9% iz razloga isplata jednokratnih naknada liječnicima sukladno donesenom Rješenju temeljem Programa mjera za liječnike zaposlene na području Grada Garešnice.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380.207,16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417.241,36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109,7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Iste donacije predstavljaju troškove sufinanciranja rada neprofitnih organizacija na području Grada Garešnice. Isti su uvjetovani zakonskim odredbama (Vatrogasna zajednica, Gradsko društvo crvenog križa te političke stranke koje su zastupljene u Gradskom vijeću Grada Garešnice) te sklopljenim Ugovorima temeljem Javnog poziva (ostale neprofitne organizacije).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neprofitnim organizacijama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1.399,90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7,0</w:t>
            </w:r>
          </w:p>
        </w:tc>
      </w:tr>
    </w:tbl>
    <w:p>
      <w:pPr>
        <w:spacing w:before="0" w:after="0"/>
      </w:pPr>
    </w:p>
    <w:p>
      <w:r>
        <w:t xml:space="preserve">Troškovi kapitalnih donacija odnose se na donacije vjerskim zajednicama za troškove nabave opreme.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šteta pravnim i fizičkim osobama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4.197,68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5.278,56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125,7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Povećanje troškova odnosi se na povećanje naknade Općini Velika Trnovitica  iz razloga što se na njezinom području nalazi Odlagalište komunalnog otpada „Johovača“.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proizvedene dugotrajne imovine (šifre 721+722+723+724+725+726)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1.062,01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513,98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48,4</w:t>
            </w:r>
          </w:p>
        </w:tc>
      </w:tr>
    </w:tbl>
    <w:p>
      <w:pPr>
        <w:spacing w:before="0" w:after="0"/>
      </w:pPr>
    </w:p>
    <w:p>
      <w:r>
        <w:t xml:space="preserve">Isti predstavljaju prihode od prodaje stanova u vlasništvu Republike Hrvatske.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Materijalna imovina - prirodna bogatstva (šifre 4111 do 4113)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44.967,68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299,8</w:t>
            </w:r>
          </w:p>
        </w:tc>
      </w:tr>
    </w:tbl>
    <w:p>
      <w:pPr>
        <w:spacing w:before="0" w:after="0"/>
      </w:pPr>
    </w:p>
    <w:p>
      <w:r>
        <w:t xml:space="preserve">Isti troškovi predstavljaju evidentiranje naslijeđene ošasne imovine (evidentiranje prihoda od kapitalnih donacija i troška nabave imovine).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85.265,88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0,6</w:t>
            </w:r>
          </w:p>
        </w:tc>
      </w:tr>
    </w:tbl>
    <w:p>
      <w:pPr>
        <w:spacing w:before="0" w:after="0"/>
      </w:pPr>
    </w:p>
    <w:p>
      <w:r>
        <w:t xml:space="preserve">Troškovi predstavljaju nabavu novih rasvjetnih stupova (javna rasvjeta).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7.600,00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660,9</w:t>
            </w:r>
          </w:p>
        </w:tc>
      </w:tr>
    </w:tbl>
    <w:p>
      <w:pPr>
        <w:spacing w:before="0" w:after="0"/>
      </w:pPr>
    </w:p>
    <w:p>
      <w:r>
        <w:t xml:space="preserve">Povećanje troškova uzrokovano je nabavom nadzornih kamera za javne površine.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Višegodišnji nasadi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24.925,55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43.221,50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173,4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Predstavljaju troškove nabave i sadnje biljnog materijala u sklopu projekta Rekonstrukcija Trga hrvatskih branitelja i Ulice Vladimira Nazora u Garešnici.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785.964,94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Isti troškovi nastali su temeljem  projekta Rekonstrukcije Trga hrvatskih branitelja i Ulice Vladimira Nazora u Garešnici.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93.748,24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Grad Garešnica je 16.7.2025. godine potpisao Ugovor o dugoročnom zaduživanju za kapitalne projekte broj: 5002591954 sa Erste &amp; Steiermarkische bank d.d. temeljem Suglasnosti Vlade RH u iznosu od 2.571.173,00 eura. U 2026. godini ostvarili smo primitke u iznosu od 93.748,24 eura temeljem realiziranih troškova za projekte koji se financiraju iz navedenog dugoročnog kredita i to: Rekonstrukcija Ulice Vladimira Nazora i Trga hrvatskih branitelja.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93.748,24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Grad Garešnica je 16.7.2025. godine potpisao Ugovor o dugoročnom zaduživanju za kapitalne projekte broj: 5002591954 sa Erste &amp; Steiermarkische bank d.d. temeljem Suglasnosti Vlade RH u iznosu od 2.571.173,00 eura. U 2026. godini ostvarili smo primitke u iznosu od 93.748,24 eura temeljem realiziranih troškova za projekte koji se financiraju iz navedenog dugoročnog kredita i to: Rekonstrukcija Ulice Vladimira Nazora i Trga hrvatskih branitelja.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17.199,06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Izdaci predstavljaju otplatu glavnice dugoročnog kredita temeljem potpisanog Ugovora o dugoročnom zaduživanju za kapitalne projekte, broj 5002512364  sa Erste &amp; Steiermarkische bank d.d. temeljem Suglasnosti Vlade RH.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17.199,06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Izdaci predstavljaju otplatu glavnice dugoročnog kredita temeljem potpisanog Ugovora o dugoročnom zaduživanju za kapitalne projekte, broj 5002512364  sa Erste &amp; Steiermarkische bank d.d. temeljem Suglasnosti Vlade RH.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novčanih sredstava na kraju izvještajnog razdoblja (šifre 11P + '11-dugov.' - '11-potraž.')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11K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867.608,59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1.617.920,92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186,5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Grad Garešnica i njegovi proračunski korisnici su od 1.1.2016. godine u punoj riznici i stanje novčanih sredstava predstavlja ukupni iznos novčanih sredstava Grada Garešnice i njegovih proračunskih korisnika na dan 31.3.2026.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Ostvareni prihodi iz dodatnog udjela poreza na dohodak za decentralizirane funkcije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30.256,05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37.013,93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122,3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Temeljem Izvještaja Financijske agencije (P-2/2) za razdoblje od 1.1.2026. do 31.03.2026. godine, Grad Garešnica je temeljem prihoda iz dodatnog udjela poreza na dohodak za decentralizirane funkcije ostvario 24.250,30 eura za osnovno školstvo i 12.763,63 eura za vatrogasne postrojbe.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Grad Garešnica nema dospjelih obveza na kraju izvještajnog razdoblja.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Međusobne obveze subjekata općeg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179.272,29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Međusobne obveze prema proračunskim korisnicima u iznosu od 179.272,29 €  sačinjavaju: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obveze prema Državnom proračunu za 55% prihoda od prodaje stanova u vlasništvu RH u iznosu od 743,62 eura,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obaveze prema Ministarstvu rada, mirovinskog sustava, obitelji i socijalne politike temeljem  dodijeljenih sredstva za ogrijev za socijalno ugroženo stanovništvo u iznosu od 22.057,00 eura,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obveze prema Hrvatskim vodama za naplaćene prihode od naknade za uređenje voda u iznosu od 1.927,63 eura,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obveze za naplaćena sredstva proračunskih korisnika Grada Garešnice u iznosu od 154.544,04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619.005,45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rashode poslovanja  u iznosu od 619.005,45 € sadržavaju obveze za zaposlene (plaća za ožujak 2026. godine) te rashode poslovanja sa valutom nakon 31.03.2026.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375.171,84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Iste obveze odnose se na ispostavljene račune za nefinancijsku imovinu sa valutom plaćanja nakon 31.3.2026.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financijsku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 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2.714.622,35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financijsku imovinu sastoje se od:</w:t>
      </w:r>
    </w:p>
    <w:p>
      <w:pPr>
        <w:jc w:val="both"/>
      </w:pPr>
      <w:r>
        <w:t xml:space="preserve">•       obveza temeljem Ugovora o dugoročnom zaduživanju za kapitalne projekte broj: 5002512364 sklopljenog sa Erste &amp; Steiermarkische bank d.d. temeljem Suglasnosti Vlade RH.  Obveza temeljem istog kredita iznosi 1.006.144,91 euro. Dospijeće obveza 31.12.2035. godine</w:t>
      </w:r>
    </w:p>
    <w:p>
      <w:pPr>
        <w:jc w:val="both"/>
      </w:pPr>
      <w:r>
        <w:t xml:space="preserve">•       obaveza temeljem Ugovora o dugoročnom zaduživanju za kapitalne projekte broj: 5002591954 sklopljenim sa Erste &amp; Steiermarkische bank d.d. temeljem Suglasnosti Vlade RH. Ukupan iznos obveza temeljem istog kredita iznosi  1.687.285,88 eura. Dospijeće obveza 31.7.2036. godine.</w:t>
      </w:r>
    </w:p>
    <w:p>
      <w:pPr>
        <w:jc w:val="both"/>
      </w:pPr>
      <w:r>
        <w:t xml:space="preserve">•       obveze temeljem beskamatnog zajma iz Državnog proračuna radi premošćivanja situacije nastale zbog različite dinamike priljeva sredstava i dospijeća obveza uslijed odgode plaćanje i/ili obročne otplate poreza na dohodak i prireza porezu na dohodak u iznosu od 21.191,56 eura. Dospijeće obveze 31.12.2027.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130.146,82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</w:pPr>
      <w:r>
        <w:t xml:space="preserve">Iste obveze sastoje se od obveza za jamčevne pologe u iznosu od 21.603,01 eura i obaveze za EU predujmove u iznosu od 108.543,81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pPr>
        <w:jc w:val="both"/>
      </w:pPr>
      <w:r>
        <w:t xml:space="preserve">U EU izvještaju po izvorima financiranja Grad Garešnica evidentirao je knjigovodstvene evidencije temeljem slijedećih Ugovora o dodijeli bespovratnih sredstava za projekte koji se financiraju iz slijedećih EU fondova: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Europski socijalni fond plus:</w:t>
      </w:r>
    </w:p>
    <w:p>
      <w:pPr>
        <w:jc w:val="both"/>
      </w:pPr>
      <w:r>
        <w:t xml:space="preserve">•       Ugovor sklopljen sa Ministarstvom rada, mirovinskog sustava, obitelji i socijalne politike broj SF.3.4.11.01.0331 za projekt "Nikad nije kasno - faza IV" od 19.01.2024. godine. Ukupan iznos odobrenih sredstava iznosi 1.485.000,00 eura. Iznos sufinanciranja iz Europskog socijalnog fonda plus iznosi 85%, a udio nacionalnog sufinanciranja iznosi 15%. Ukupno ostvareni prihodi iznose 137.368,83 eura (EU sredstva = 116.763,50 eura i nacionalno sufinanciranje = 20.605,33 eura), obaveze za predujmove iznose 108.436,05 eura. Evidentirani ukupni troškovi za zaposlene i materijalne rashode iznose 124.963,61 eura. Preostali iznos potraživanja koji se vodi u vanbilančnoj evidenciji iznosi 481.228,14 eura (potraživanja za EU sredstva iznose 409.043,92 eura, potraživanje za nacionalno sufinanciranje iznosi 72.184,22 eura).</w:t>
      </w:r>
    </w:p>
    <w:p>
      <w:pPr>
        <w:jc w:val="both"/>
      </w:pPr>
      <w:r>
        <w:t xml:space="preserve">•       Ugovor sklopljen sa Ministarstvom znanosti, obrazovanja i mladih broj SF.2.4.06.06.0054 od 26.11.2024. godine za projekt "Pomoćnici u nastavi VII - OŠ Garešnica". Ukupan iznos odobrenih sredstava iznosi 180.000,00 eura. Iznos sufinanciranja iz Europskog socijalnog fonda plus iznosi 85%, a udio nacionalnog sufinanciranja iznosi 15%. Ukupno ostvareni prihodi u 2026. godini iznose 32.500,00 (EU sredstva = 27.625,00 eura i nacionalno sufinanciranje = 4.875,00 eura), obaveze za predujmove iznose 0,00 eura. Evidentirani troškovi temeljem prijenosa EU sredstava iznose 11.912,10 eura i prijenosa nacionalnog sufinanciranja iznose 2.102,12 eura.  Preostali iznos potraživanja koji se vodi u vanbilančnoj evidenciji iznosi 123.500,00 eura ( potraživanja za EU sredstva iznose 104.975,00 eura, potraživanje za nacionalno sufinanciranje iznosi 18.525,00 eura).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Mehanizam za oporavak i otpornost - bespovratna sredstva </w:t>
      </w:r>
    </w:p>
    <w:p>
      <w:pPr>
        <w:jc w:val="both"/>
      </w:pPr>
      <w:r>
        <w:t xml:space="preserve">•       Ugovor sklopljen sa Ministarstvom prostornog uređenja, graditeljstva i državne imovine broj NPOO.C2.3.R3-I7.01.0438 od 19.9.2024 godine za projekt "Izrada Urbanističkog plana uređenja "Skresovi". Ukupno odobrena sredstva u iznosu od 20.000,00 eura. Realizirani troškovi u 2025. godini iznose 20.000,00 eura. Nije podnesen zahtjev za naplatu. Preostali iznos potraživanja koji se vodi u vanbilančnoj evidenciji iznosi 20.000,00 eura.</w:t>
      </w:r>
    </w:p>
    <w:p>
      <w:pPr>
        <w:jc w:val="both"/>
      </w:pPr>
      <w:r>
        <w:t xml:space="preserve">•       Ugovor sklopljen sa Ministarstvom prostornog uređenja, graditeljstva i državne imovine broj NPOO.C2.3.R3-I7.01.0437 od 16.9.2024 godine za projekt "Izrada Urbanističkog plana uređenja "Gajine". Ukupno odobrena sredstva u iznosu od 20.000,00 eura. Realizirani troškovi u 2025. godini iznose 20.000,00 eura. Nije podnesen zahtjev za naplatu. Preostali iznos potraživanja koji se vodi u vanbilančnoj evidenciji iznosi 20.000,00 eura.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Europski poljoprivredni fond za ruralni razvoj</w:t>
      </w:r>
    </w:p>
    <w:p>
      <w:pPr>
        <w:jc w:val="both"/>
      </w:pPr>
      <w:r>
        <w:t xml:space="preserve">•       Odluka Agencije za plaćanja u poljoprivredi, ribarstvu i ruralnom razvoju o dodjeli sredstava za projekt "Izgradnja kuće oproštaja u naselju Mali Pašijan" u okviru LAG natječaja "2.1. Poboljšanje životnih uvjeta u lokalnoj sredini". Ukupno odobrena sredstva iznose 60.000,00 eura. Udio nacionalnog sufinanciranja iznosi 20%, a sufinanciranja Europskog poljoprivrednog fonda za ruralni razvoj iznosi 80%. U 2025. godini nije bilo evidentiranih troškova niti uplaćenih predujmova i prihoda. Iznos potraživanja u vanbilančnoj evidenciji iznosi 60.000,00 eura.</w:t>
      </w:r>
    </w:p>
    <w:p>
      <w:pPr>
        <w:jc w:val="both"/>
      </w:pPr>
      <w:r>
        <w:t xml:space="preserve"> 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7b9e739d8a4546" /><Relationship Type="http://schemas.openxmlformats.org/officeDocument/2006/relationships/numbering" Target="/word/numbering.xml" Id="R175d4a514073465d" /></Relationships>
</file>