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4FD2" w14:textId="2C6FE9AE" w:rsidR="007917C2" w:rsidRPr="00C1205D" w:rsidRDefault="007917C2" w:rsidP="0001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209009120"/>
    </w:p>
    <w:p w14:paraId="41676E3D" w14:textId="77777777" w:rsidR="00C753C7" w:rsidRPr="00C1205D" w:rsidRDefault="00C753C7" w:rsidP="00342F9D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p w14:paraId="37FCFE44" w14:textId="77777777" w:rsidR="008D0378" w:rsidRPr="00C1205D" w:rsidRDefault="008D0378" w:rsidP="006C274F">
      <w:pPr>
        <w:pStyle w:val="Odlomakpopisa"/>
        <w:numPr>
          <w:ilvl w:val="0"/>
          <w:numId w:val="8"/>
        </w:numPr>
        <w:jc w:val="center"/>
        <w:rPr>
          <w:rFonts w:asciiTheme="minorHAnsi" w:hAnsiTheme="minorHAnsi" w:cstheme="minorHAnsi"/>
          <w:b/>
          <w:bCs/>
          <w:color w:val="000000"/>
        </w:rPr>
      </w:pPr>
      <w:r w:rsidRPr="00C1205D">
        <w:rPr>
          <w:rFonts w:asciiTheme="minorHAnsi" w:hAnsiTheme="minorHAnsi" w:cstheme="minorHAnsi"/>
          <w:b/>
          <w:bCs/>
          <w:color w:val="000000"/>
        </w:rPr>
        <w:t>Izvještaj o izvršenju općeg dijela proračuna</w:t>
      </w:r>
    </w:p>
    <w:p w14:paraId="7FB343F3" w14:textId="7E88C260" w:rsidR="00F0344A" w:rsidRPr="00C1205D" w:rsidRDefault="00F0344A" w:rsidP="00F0344A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18C4572" w14:textId="77777777" w:rsidR="000B2435" w:rsidRPr="00C1205D" w:rsidRDefault="000B2435" w:rsidP="00F0344A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6194D9D" w14:textId="4620AC44" w:rsidR="005710B7" w:rsidRPr="00C1205D" w:rsidRDefault="005710B7" w:rsidP="005710B7">
      <w:pPr>
        <w:pStyle w:val="Odlomakpopisa"/>
        <w:numPr>
          <w:ilvl w:val="1"/>
          <w:numId w:val="8"/>
        </w:numPr>
        <w:jc w:val="center"/>
        <w:rPr>
          <w:rFonts w:asciiTheme="minorHAnsi" w:hAnsiTheme="minorHAnsi" w:cstheme="minorHAnsi"/>
          <w:b/>
          <w:bCs/>
          <w:color w:val="000000"/>
        </w:rPr>
      </w:pPr>
      <w:r w:rsidRPr="00C1205D">
        <w:rPr>
          <w:rFonts w:asciiTheme="minorHAnsi" w:hAnsiTheme="minorHAnsi" w:cstheme="minorHAnsi"/>
          <w:b/>
          <w:bCs/>
          <w:color w:val="000000"/>
        </w:rPr>
        <w:t>Sažetak Računa prihoda i rashoda i Računa financiranja</w:t>
      </w:r>
    </w:p>
    <w:p w14:paraId="52B96B68" w14:textId="77777777" w:rsidR="004E0B8D" w:rsidRDefault="004E0B8D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57044743" w14:textId="77777777" w:rsidR="007D1261" w:rsidRDefault="007D1261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4C598581" w14:textId="77777777" w:rsidR="007D1261" w:rsidRDefault="007D1261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14830" w:type="dxa"/>
        <w:tblLook w:val="04A0" w:firstRow="1" w:lastRow="0" w:firstColumn="1" w:lastColumn="0" w:noHBand="0" w:noVBand="1"/>
      </w:tblPr>
      <w:tblGrid>
        <w:gridCol w:w="7230"/>
        <w:gridCol w:w="1580"/>
        <w:gridCol w:w="1740"/>
        <w:gridCol w:w="1580"/>
        <w:gridCol w:w="1420"/>
        <w:gridCol w:w="1280"/>
      </w:tblGrid>
      <w:tr w:rsidR="007D1261" w:rsidRPr="007D1261" w14:paraId="2F52A900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46B6064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65DB605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41CA18D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Rebalans 2025.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96E7FDB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F2BC209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CBFA612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Indeks  3/2</w:t>
            </w:r>
          </w:p>
        </w:tc>
      </w:tr>
      <w:tr w:rsidR="007D1261" w:rsidRPr="007D1261" w14:paraId="4D45E20A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12A422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D380A17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9E7D1E0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D6B36B9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51F2176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65385EF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7D1261" w:rsidRPr="007D1261" w14:paraId="1B715D5B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66A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30B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5.358.818,34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D09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14.178.612,19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727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5.679.893,92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272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105,99%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1C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40,06%</w:t>
            </w:r>
          </w:p>
        </w:tc>
      </w:tr>
      <w:tr w:rsidR="007D1261" w:rsidRPr="007D1261" w14:paraId="2FDB2531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26A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B02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70.402,38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C00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1.915.740,00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A48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51.748,40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18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73,50%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6D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2,70%</w:t>
            </w:r>
          </w:p>
        </w:tc>
      </w:tr>
      <w:tr w:rsidR="007D1261" w:rsidRPr="007D1261" w14:paraId="7554B069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868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4F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5.429.220,72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36A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16.094.352,19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0C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5.731.642,32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973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105,57%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F4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35,61%</w:t>
            </w:r>
          </w:p>
        </w:tc>
      </w:tr>
      <w:tr w:rsidR="007D1261" w:rsidRPr="007D1261" w14:paraId="2BAFFFA5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B29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396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4.599.116,02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A86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13.580.123,73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F5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5.976.601,56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466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129,95%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3F5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44,01%</w:t>
            </w:r>
          </w:p>
        </w:tc>
      </w:tr>
      <w:tr w:rsidR="007D1261" w:rsidRPr="007D1261" w14:paraId="63BD8F38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388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855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819.832,78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BB6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5.982.678,98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C22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1.045.587,68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D98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127,54%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6EE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17,48%</w:t>
            </w:r>
          </w:p>
        </w:tc>
      </w:tr>
      <w:tr w:rsidR="007D1261" w:rsidRPr="007D1261" w14:paraId="7232B612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3D3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74E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5.418.948,80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763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19.562.802,71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3A0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7.022.189,24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3B5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129,59%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65A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35,90%</w:t>
            </w:r>
          </w:p>
        </w:tc>
      </w:tr>
      <w:tr w:rsidR="007D1261" w:rsidRPr="007D1261" w14:paraId="0CAB635C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BAC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A0B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10.271,92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45D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-3.468.450,52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C7A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-1.290.546,92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4D1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-12563,83%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D80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37,21%</w:t>
            </w:r>
          </w:p>
        </w:tc>
      </w:tr>
      <w:tr w:rsidR="007D1261" w:rsidRPr="007D1261" w14:paraId="74DCB064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60F84D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C67B30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14AD5B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EF6FCE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451990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967F98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7D1261" w:rsidRPr="007D1261" w14:paraId="570D6D7E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24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45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853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39D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E92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EEB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</w:tr>
      <w:tr w:rsidR="007D1261" w:rsidRPr="007D1261" w14:paraId="11C35308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6F8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CE4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63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037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935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69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</w:tr>
      <w:tr w:rsidR="007D1261" w:rsidRPr="007D1261" w14:paraId="477BFDC3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10A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B49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9C0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3.196.426,50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D77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ADF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D09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7D1261" w:rsidRPr="007D1261" w14:paraId="3B9915ED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FCC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31F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D2E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A8E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D22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F8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8F66430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E96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13F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30C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272.024,02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ABF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F7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73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</w:tr>
      <w:tr w:rsidR="007D1261" w:rsidRPr="007D1261" w14:paraId="75ACA88F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F6E594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76402D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2CCAF8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1763F8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06F2EE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46805A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7D1261" w:rsidRPr="007D1261" w14:paraId="7CDFB828" w14:textId="77777777" w:rsidTr="007D1261">
        <w:trPr>
          <w:trHeight w:val="26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633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REZULTAT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48B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-9.728,08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35F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72B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-1.290.546,92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A77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13266,20%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DAB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</w:tr>
    </w:tbl>
    <w:p w14:paraId="7FCDFD94" w14:textId="77777777" w:rsidR="007D1261" w:rsidRDefault="007D1261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6B8318E1" w14:textId="77777777" w:rsidR="00C1205D" w:rsidRDefault="00C1205D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0DEE65EA" w14:textId="77777777" w:rsidR="00342F9D" w:rsidRDefault="00342F9D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6EDF6BCA" w14:textId="77777777" w:rsidR="007D1261" w:rsidRDefault="007D1261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376CE3BB" w14:textId="77777777" w:rsidR="007D1261" w:rsidRDefault="007D1261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4C7DFAC5" w14:textId="77777777" w:rsidR="007D1261" w:rsidRPr="00C1205D" w:rsidRDefault="007D1261" w:rsidP="004D3FA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0C1BB9F8" w14:textId="77777777" w:rsidR="004D3FA8" w:rsidRPr="00C1205D" w:rsidRDefault="004D3FA8" w:rsidP="004D3FA8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6A981E8" w14:textId="4313C6E4" w:rsidR="00C753C7" w:rsidRPr="00C1205D" w:rsidRDefault="004D3FA8" w:rsidP="004D3FA8">
      <w:pPr>
        <w:pStyle w:val="Odlomakpopisa"/>
        <w:numPr>
          <w:ilvl w:val="1"/>
          <w:numId w:val="8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>Račun prihoda i rashoda</w:t>
      </w:r>
    </w:p>
    <w:p w14:paraId="319136CD" w14:textId="77777777" w:rsidR="00C0252E" w:rsidRPr="00C1205D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4E7C3B9" w14:textId="6296C6FC" w:rsidR="00FB7757" w:rsidRDefault="005A758B" w:rsidP="00FB7757">
      <w:pPr>
        <w:pStyle w:val="Odlomakpopisa"/>
        <w:numPr>
          <w:ilvl w:val="2"/>
          <w:numId w:val="8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>Prihodi i rashodi prema ekonomskoj klasifikaciji</w:t>
      </w:r>
    </w:p>
    <w:p w14:paraId="1265071E" w14:textId="77777777" w:rsidR="007D1261" w:rsidRDefault="007D1261" w:rsidP="007D1261">
      <w:pPr>
        <w:rPr>
          <w:rFonts w:asciiTheme="minorHAnsi" w:hAnsiTheme="minorHAnsi" w:cstheme="minorHAnsi"/>
          <w:b/>
          <w:color w:val="000000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7513"/>
        <w:gridCol w:w="1680"/>
        <w:gridCol w:w="1722"/>
        <w:gridCol w:w="1700"/>
        <w:gridCol w:w="1135"/>
        <w:gridCol w:w="992"/>
      </w:tblGrid>
      <w:tr w:rsidR="006920CF" w:rsidRPr="007D1261" w14:paraId="3618971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1FAB895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A87E18E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E4CB9E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Rebalans 2025.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9644DBC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806D6E6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96F18D5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7D1261" w:rsidRPr="007D1261" w14:paraId="14B6C57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868526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52DEA20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D7B83A6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6764FB9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3DD2C92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703B800" w14:textId="77777777" w:rsidR="007D1261" w:rsidRPr="007D1261" w:rsidRDefault="007D1261" w:rsidP="007D12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7D1261" w:rsidRPr="007D1261" w14:paraId="1C12531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74E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490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5.358.818,34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C1E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14.178.612,19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6AE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5.679.893,92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F68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105,99%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CA3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40,06%</w:t>
            </w:r>
          </w:p>
        </w:tc>
      </w:tr>
      <w:tr w:rsidR="007D1261" w:rsidRPr="007D1261" w14:paraId="4F66A04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21D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634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1.069.439,94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B3D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2.825.500,00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4F5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1.224.890,57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D5C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114,54%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7DF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43,35%</w:t>
            </w:r>
          </w:p>
        </w:tc>
      </w:tr>
      <w:tr w:rsidR="007D1261" w:rsidRPr="007D1261" w14:paraId="1066925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E5E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 Porez na dohodak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DEA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1.022.070,62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AF2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AE9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1.173.973,27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592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114,86%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056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56C604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D23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6111 Porez na dohodak od nesamostalnog rada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8F0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1.046.362,16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FF1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353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1.334.629,70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A3D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127,55%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08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A0CBEE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A2A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6112 Porez na dohodak od samostalnih djelatnosti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708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137.220,19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04C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AF5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132.650,64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6CD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96,67%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1BD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DB3157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B68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6113 Porez na dohodak od imovine i imovinskih prava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050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59.101,58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A8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353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54.596,80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0D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92,38%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96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B7A2F3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41C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6114 Porez na dohodak od kapitala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B31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49.287,12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F82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F3F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45.571,73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37F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92,46%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453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B6F6BE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26F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6115 Porez na dohodak po godišnjoj prijavi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CC8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86.742,25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98C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0C6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106.907,27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7E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123,25%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29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F5B694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FDAB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6116 Porez na dohodak utvrđen u postupku nadzora za prethodne godine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5B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8.700,89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153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FC4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E75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FF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B7C771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D78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6117 Povrat poreza na dohodak po godišnjoj prijavi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573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-365.343,57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DEE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27E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-500.382,87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357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136,96%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00E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8B3E84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666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613 Porezi na imovinu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79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39.676,51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D56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3B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49.196,25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FCC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123,99%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689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2A7F49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F46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129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317,38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747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B16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61,14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CB8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19,26%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D19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76A72E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F63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6134 Povremeni porezi na imovinu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041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39.359,13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4F5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129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49.135,11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6EC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124,84%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3B3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044C6F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5A5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614 Porezi na robu i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6AD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7.692,81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97C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15F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1.721,05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786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22,37%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098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1B914B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487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6142 Porez na promet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3A2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7.692,81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43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87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1.721,05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AB1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22,37%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302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CC8062E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AF4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83C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3.604.546,87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01C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9.765.766,93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F80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3.761.080,63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A66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104,34%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1F1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38,51%</w:t>
            </w:r>
          </w:p>
        </w:tc>
      </w:tr>
      <w:tr w:rsidR="007D1261" w:rsidRPr="007D1261" w14:paraId="73BC046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F57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BF8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1.140.259,76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99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4A7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439.201,80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45B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38,52%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996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B80DB9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79D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53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1.140.259,76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79F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F1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378.651,80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87B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33,21%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42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81B4B8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E35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058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CB9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144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60.550,00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1A1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D6B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2A6D9E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0E7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634 Pomoći od izvanproračunskih korisnika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4C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283.562,61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371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87E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14.050,60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850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4,96%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5A4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4EE2B0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BF7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6341 Tekuće pomoći od izvanproračunskih korisnika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5A2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6.160,11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51E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D1B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14.050,60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72E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228,09%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EE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227F92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C37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6342 Kapitalne pomoći od izvanproračunskih korisnika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C70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277.402,50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882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1EC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CE6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C5D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851C3C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54A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DAA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257.030,51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8ED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712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1.097.634,11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C55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427,04%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B05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6F4689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A30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6351 Tekuće pomoći izravnanja za decentralizirane funkcije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E3D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257.030,51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6D9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4CC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257.433,41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C2C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100,16%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9E5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DF7438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103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6353 Pomoći fiskalnog izravnanja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0F8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8A5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706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840.200,70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595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44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A2A9D6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4DD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E2A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1.671.172,83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D2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45B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1.865.963,01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F54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111,66%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DF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349037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F6B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03C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1.650.430,80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CAB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13F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1.842.428,82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A38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111,63%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3F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8165E6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CCF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6362 Kapitalne pomoći proračunskim korisnicima iz proračuna koji im nije nadležan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E64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20.742,03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68F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FCA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23.534,19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873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113,46%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00F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6D3F1A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F72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638 Pomoći temeljem prijenosa EU sredstava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5E0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252.521,16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F75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47B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344.231,11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C91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136,32%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452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B7C7F6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9EB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6381 Tekuće pomoći temeljem prijenosa EU sredstava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70E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252.521,16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441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C45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220.889,79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BD4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87,47%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83E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A29E33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118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6382 Kapitalne pomoći temeljem prijenosa EU sredstava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45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C17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083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123.341,32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1EB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F1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297F3F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299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6EA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100.601,05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E7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450.100,00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3C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122.680,58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D2B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121,95%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2EB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27,26%</w:t>
            </w:r>
          </w:p>
        </w:tc>
      </w:tr>
      <w:tr w:rsidR="007D1261" w:rsidRPr="007D1261" w14:paraId="1153156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6FB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E5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5.002,11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EDD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3D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2.904,39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B7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58,06%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2B5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7F33BA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BD4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4B7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8,08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00C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99E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2BA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47,28%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44A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6C132A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EA4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6414 Prihodi od zateznih kamata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8E9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4.994,03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21B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F71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2.900,57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5C3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58,08%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41F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B203D3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80D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642 Prihodi od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7C7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95.598,94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EDC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7BA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119.776,19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C00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125,29%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EC1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872852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5C4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6422 Prihodi od zakupa i iznajmljivanja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C0B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66.351,86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442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BE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91.501,53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4D0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137,90%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27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54A18C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849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6423 Naknada za korištenje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EF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29.247,08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95E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54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28.274,66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51E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96,68%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2E9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B5E814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D17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DB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467.401,88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C98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925.645,26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A37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487.696,57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575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104,34%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289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52,69%</w:t>
            </w:r>
          </w:p>
        </w:tc>
      </w:tr>
      <w:tr w:rsidR="007D1261" w:rsidRPr="007D1261" w14:paraId="20B8F4F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0EB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651 Upravne i administrativne pristojbe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33C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863,28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75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680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1.259,80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16A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145,93%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DD4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A62076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9CB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6512 Županijske, gradske i općinske pristojbe i naknade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20E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219,22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CEE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3C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656,15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60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299,31%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D4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C9B884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629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6514 Ostale pristojbe i naknade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43E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644,06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D6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322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603,65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97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93,73%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805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E949A3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1E8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2D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361.395,40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CA7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968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396.525,90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2AE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109,72%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ED4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C92B2C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905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6522 Prihodi vodnog gospodarstva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46D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150,03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C67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D8A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7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65A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9E9E6A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1A6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6524 Doprinosi za šume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090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212.541,46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385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43C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210.914,82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218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99,23%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52D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89A600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8C0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A9D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148.703,91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DF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DF2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185.611,08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A05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124,82%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93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977B7E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618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653 Komunalni doprinosi i naknade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5D5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105.143,20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E8F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FA9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89.910,87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540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85,51%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CDA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980BE2E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7EF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6531 Komunalni doprinosi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FC2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3.883,40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4A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B4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399,01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98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10,27%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288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93CD20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C87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6532 Komunalne naknade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A02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101.259,80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7AE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84E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89.511,86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40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88,40%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0EA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7CA892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EFF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069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72.436,10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8E3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D3F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75.137,77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7E3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103,73%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77D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38,61%</w:t>
            </w:r>
          </w:p>
        </w:tc>
      </w:tr>
      <w:tr w:rsidR="007D1261" w:rsidRPr="007D1261" w14:paraId="2BDF1CA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0FD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B7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26.939,35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E4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B76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41.250,61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D24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153,12%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979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2F4FA4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BBA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6614 Prihodi od prodaje proizvoda i robe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147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327,31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08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FF5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2.217,50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13B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677,49%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014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DF46BD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7A0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C25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26.612,04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E22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C8D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39.033,11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35F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146,67%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048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47B0FC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C9F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62B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45.496,75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E95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920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33.887,16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3E8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74,48%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CA6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CDFF86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410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72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0F2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02E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635,60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AA3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635,60%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E13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6E92CD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8A7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6632 Kapitalne donacije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56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45.396,75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BF2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7C8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33.251,56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4CA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2A5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814900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EB4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10A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44.392,50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EAC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723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8.407,80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877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770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49,46%</w:t>
            </w:r>
          </w:p>
        </w:tc>
      </w:tr>
      <w:tr w:rsidR="007D1261" w:rsidRPr="007D1261" w14:paraId="3E57B7D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1F4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683 Ostali prihodi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0D5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44.392,50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2DF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91B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8.407,80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D98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8F0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ACBA2E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903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6831 Ostali prihodi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45C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44.392,50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AF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506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8.407,80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16A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9D9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3E5074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05A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D48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70.402,38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B74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1.915.740,00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66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51.748,40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5D2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73,50%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94A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2,70%</w:t>
            </w:r>
          </w:p>
        </w:tc>
      </w:tr>
      <w:tr w:rsidR="007D1261" w:rsidRPr="007D1261" w14:paraId="7E8B231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768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71 Prihodi od prodaje neproizvedene dugotrajne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BCB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62.653,74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574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1.237.600,00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0B7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42.168,00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E74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67,30%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B15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3,41%</w:t>
            </w:r>
          </w:p>
        </w:tc>
      </w:tr>
      <w:tr w:rsidR="007D1261" w:rsidRPr="007D1261" w14:paraId="3340DD8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880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711 Prihodi od prodaje materijalne imovine - prirodnih bogatstava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BB8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62.653,74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D4C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B84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42.168,00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05D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67,30%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A34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B45AE7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CFD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7111 Zemljište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6DF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62.653,74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DC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A0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42.168,00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CE9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67,30%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50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8CCCE9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E8B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8ED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7.748,64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F6A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678.140,00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1EE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9.580,40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C97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123,64%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0D1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1,41%</w:t>
            </w:r>
          </w:p>
        </w:tc>
      </w:tr>
      <w:tr w:rsidR="007D1261" w:rsidRPr="007D1261" w14:paraId="72B89B9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9F1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721 Prihodi od prodaje građevinskih objekata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00D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6.964,51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01C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5E8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8.285,49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F57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118,97%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F98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BE02AB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D64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7211 Stambeni objekti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7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3.270,82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2C9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2D1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1.835,49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E18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56,12%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F28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F745C2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640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7212 Poslovni objekti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1BF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3.693,69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87C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E5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155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174,62%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3D3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ED6B96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BAC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723 Prihodi od prodaje prijevoznih sredstava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75D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784,13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E9B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C9D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1.294,91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944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165,14%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F53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C4B218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C69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7231 Prijevozna sredstva u cestovnom prometu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84F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784,13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F59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1B6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1.294,91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738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165,14%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902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123BDC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DBDB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5A2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4.599.116,02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F5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13.580.123,73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169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5.976.601,56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E59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129,95%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BA6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44,01%</w:t>
            </w:r>
          </w:p>
        </w:tc>
      </w:tr>
      <w:tr w:rsidR="007D1261" w:rsidRPr="007D1261" w14:paraId="34CD038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DDB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D93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2.838.919,30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08B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7.536.574,34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930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3.878.773,37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23A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136,63%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62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51,47%</w:t>
            </w:r>
          </w:p>
        </w:tc>
      </w:tr>
      <w:tr w:rsidR="007D1261" w:rsidRPr="007D1261" w14:paraId="5A80E13E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813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5B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2.290.516,26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FCC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7DF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3.168.101,29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497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138,31%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3B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C18A0A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E45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794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2.290.287,63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B38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D28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3.167.872,69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5D6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138,32%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585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8C7397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21B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3112 Plaće u naravi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B39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228,63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2A8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97F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B74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ACE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C9AE7F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72D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D88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162.083,08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EB0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A3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185.185,35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90A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114,25%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95C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974F21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74B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CB6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162.083,08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F5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A3B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185.185,35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25B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114,25%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3BA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5BD7DF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812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26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386.319,96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AC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70B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525.486,73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200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136,02%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6B5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E8AEB0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174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3131 Doprinosi za mirovinsko osiguranje za staž s povećanim trajanjem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525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19.057,95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BE7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FC8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24.383,72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D01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127,95%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983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6A6E1EE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CAE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EBD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367.262,01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79F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6FD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501.103,01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8D4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136,44%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E41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8F49B2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3B4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02F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1.271.206,24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943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3.060.014,39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59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1.376.746,90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1FD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108,30%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AD2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44,99%</w:t>
            </w:r>
          </w:p>
        </w:tc>
      </w:tr>
      <w:tr w:rsidR="007D1261" w:rsidRPr="007D1261" w14:paraId="067EEDC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C7A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7E5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115.657,63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632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056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131.368,84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DAE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113,58%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D8F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D8B699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66D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A3F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11.372,42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E9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BA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13.154,73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6BE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115,67%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2D6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631F0C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716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F75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90.362,99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1D9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19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99.606,42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0E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110,23%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0C1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17AE41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948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D1A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3.565,79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0E1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967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5.457,46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4F9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153,05%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47D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EEDB5A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CF1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1F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10.356,43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2AF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25D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13.150,23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44C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126,98%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7AE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D67C1F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D20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50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334.548,42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FAB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71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364.678,31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F31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109,01%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42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01CE4AE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F6C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286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36.808,76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D7C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B76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47.238,77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902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128,34%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238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E0BFDC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E41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24F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130.779,96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2DC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31A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138.437,47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2E3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105,86%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61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4FCDE5A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C68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55C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115.779,86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548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2AE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126.721,98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25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109,45%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38D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258208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0B8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CB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34.231,33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B3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DA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37.005,90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DB5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108,11%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A1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3CAEA5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445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3225 Sitni inventar i </w:t>
            </w:r>
            <w:proofErr w:type="spellStart"/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960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12.569,89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48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C3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8.268,24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4CF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D4C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03B489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467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6A8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4.378,62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216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F88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7.005,95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49C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801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B0764A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CEF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808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704.345,83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0BB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40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750.822,62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EE8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106,60%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10C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88B4F0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186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 Usluge telefona, interneta, pošte i prijevoza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416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22.001,58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A3F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561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21.617,45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FF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98,25%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077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346831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4BE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 Usluge tekućeg i investicijskog  održavanja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DBF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338.522,58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A1E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D8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338.694,59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22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100,05%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AF7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93D782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8DF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C01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32.899,44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85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B9A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40.206,52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327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122,21%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21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DBD729A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C14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3234 Komunalne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0C6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40.953,61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3FF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7B9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40.502,57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2FF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98,90%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D8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09CE2BA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2CE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55A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12.075,84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453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C6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29.518,25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819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244,44%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C17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66A95E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DF4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606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20.917,10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6A0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E4B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28.569,67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12B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146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275EE3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A5D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258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133.025,88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1A0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9AE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149.537,66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4CA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112,41%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953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054FB9E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C8D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9D0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32.780,18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E29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F07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29.361,51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83E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89,57%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6AB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981803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A4C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51F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71.169,62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4B3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738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72.814,40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9C8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102,31%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924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9A7BC8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905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324 Naknade troškova osobama izvan radnog odnosa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B1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6DB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EE8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209,20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7E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211,31%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01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06D47B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BAB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3241 Naknade troškova osobama izvan radnog odnosa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EE9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06D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CE4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209,20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5CC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211,31%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EF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361A44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A68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66F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116.555,36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3CA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45C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129.667,93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DA3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111,25%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E0D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73E209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CBA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A46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58.514,86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0D9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0B3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68.350,27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CB2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116,81%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30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12705B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D5C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675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14.827,09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613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969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14.634,89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9C6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98,70%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5BC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968BC5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B22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39A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25.140,65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DF8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6E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22.808,90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95E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90,73%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3F8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92434B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57A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94A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3.554,49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16B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559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4.533,34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17D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127,54%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428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557E40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3E7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749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8.826,52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317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E0E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12.007,50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7C0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136,04%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9D7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55998A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8A3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3296 Troškovi sudskih postupaka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C66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742,19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46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FD4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3.111,99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B42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419,30%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40D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A351D6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E26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A24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4.949,56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1FE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13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4.221,04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366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85,28%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6AE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D8126B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9B9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C42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4.266,57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CCE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B7B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13.571,24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0D1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318,08%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55B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27,78%</w:t>
            </w:r>
          </w:p>
        </w:tc>
      </w:tr>
      <w:tr w:rsidR="007D1261" w:rsidRPr="007D1261" w14:paraId="632D4DB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477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342 Kamate za primljene kredite i zajmove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A72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8E9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ABB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3.971,33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7C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7E0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58B6D9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809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D3E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796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EDA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3.971,33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6CE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7AB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D353CA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236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E41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4.266,57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E65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D3A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9.599,91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6A8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225,00%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100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D48CEC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B78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560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4.263,53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86A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EB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9.515,97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085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223,19%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D56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478574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127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6AF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3,04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7CF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BCD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83,94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6B0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2761,18%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2E2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A58230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297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6D5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59.189,90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2B1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85.100,00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3F8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9.276,54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37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15,67%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7D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10,90%</w:t>
            </w:r>
          </w:p>
        </w:tc>
      </w:tr>
      <w:tr w:rsidR="007D1261" w:rsidRPr="007D1261" w14:paraId="5BEC0F6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0E2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A7A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59.189,90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FE4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5FD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9.276,54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1BC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15,67%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CAD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6407E0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706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3522 Subvencije trgovačkim društvima i zadrugama izvan javnog sektora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4A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58.939,12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77D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A05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7.123,62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01A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12,09%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013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18AF78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EEF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3523 Subvencije poljoprivrednicima i obrtnicima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443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250,78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943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28E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2.152,92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B3E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858,49%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D04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8779E9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B19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70E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46.816,88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2A8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907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1.816,88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B08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AE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41,29%</w:t>
            </w:r>
          </w:p>
        </w:tc>
      </w:tr>
      <w:tr w:rsidR="007D1261" w:rsidRPr="007D1261" w14:paraId="50DD559A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F27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363 Pomoći drugom proračunu i izvanproračunskim korisnicima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1FB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46.816,88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6AC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CF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1.816,88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2A5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F2D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BF5F4F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E3B0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C29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46.816,88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B53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B61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1.816,88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7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EBF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3708F2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A07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DA6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214.041,52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D7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566.180,00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E6F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242.489,68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70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113,29%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CE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42,83%</w:t>
            </w:r>
          </w:p>
        </w:tc>
      </w:tr>
      <w:tr w:rsidR="007D1261" w:rsidRPr="007D1261" w14:paraId="677BEF1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28B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45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214.041,52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5C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443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242.489,68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223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113,29%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79F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941BEEA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055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DF7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53.421,72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40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D1A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59.520,05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A63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111,42%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63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6F85CF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FFE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4C8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160.619,80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004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70B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182.969,63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17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113,91%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A5D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D5C7B3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3A6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91E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164.675,61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6C7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2.279.005,00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DC6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453.926,95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7C8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275,65%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556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19,92%</w:t>
            </w:r>
          </w:p>
        </w:tc>
      </w:tr>
      <w:tr w:rsidR="007D1261" w:rsidRPr="007D1261" w14:paraId="65D1A603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921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381 Tekuće donacije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930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150.878,99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7EB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9EF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408.162,17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DA6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270,52%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3F4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D7D5D9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C0D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ECB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150.707,04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346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B8D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406.976,89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493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270,05%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8F2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640A078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3AB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3812 Tekuće donacije u naravi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2EB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171,95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4B4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390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1.185,28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C7B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689,32%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CA0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1689AC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EB1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382 Kapitalne donacije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C6D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7.610,16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1F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82C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36.104,10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3E6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474,42%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9F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297A2D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591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3821 Kapitalne donacije neprofitnim organizacijama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E72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7.610,16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DA5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376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36.104,10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AD8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474,42%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EDD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45CAC0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88A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383 Kazne, penali i naknade štete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C01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6.186,46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268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9E7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39C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156,16%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7FC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2C56B2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B37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3831 Naknade šteta pravnim i fizičkim osobama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4F5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5.301,64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B38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C9E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704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182,22%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F9B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872157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54D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3835 Ostale kazne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934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884,82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BB3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0DD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F20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CDF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E994CD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272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40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819.832,78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412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5.982.678,98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31F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1.045.587,68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A9A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127,54%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F64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17,48%</w:t>
            </w:r>
          </w:p>
        </w:tc>
      </w:tr>
      <w:tr w:rsidR="007D1261" w:rsidRPr="007D1261" w14:paraId="1313308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DE0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357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151.635,81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F34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1.464.578,50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4EA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580.083,28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1E4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382,55%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8B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39,61%</w:t>
            </w:r>
          </w:p>
        </w:tc>
      </w:tr>
      <w:tr w:rsidR="007D1261" w:rsidRPr="007D1261" w14:paraId="3C5A590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A71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411 Materijalna imovina - prirodna bogatstva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8E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4.809,06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BE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C57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29.220,88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C51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607,62%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FEA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C917A6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83C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4111 Zemljište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6D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4.809,06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1EB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63B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29.220,88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11A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607,62%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5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27B50C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5CD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906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146.826,75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9EC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DAF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550.862,40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D33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375,18%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743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480E7D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6EA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4124 Ostala prava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FBC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146.826,75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AA9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869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550.862,40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B0E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375,18%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DB3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81EFBF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A7B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9A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579.236,08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7DB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1.519.917,21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3A6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264.698,51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783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45,70%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78D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17,42%</w:t>
            </w:r>
          </w:p>
        </w:tc>
      </w:tr>
      <w:tr w:rsidR="007D1261" w:rsidRPr="007D1261" w14:paraId="20CC54D0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E6E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2F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59.801,38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268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F47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106.964,08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25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178,87%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5A3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F858DF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7F0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57F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59.801,38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64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26A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106.964,08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D3D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178,87%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BC4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C85E37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47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419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504.734,14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269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B98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86.176,28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7D7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17,07%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95A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AD78CE9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FDC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D7C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5.204,04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31D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7CD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4.184,90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04D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80,42%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D00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582153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7255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D66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4D9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411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693,80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FCA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996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49CDD5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8E69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2B2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30.917,19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95A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94F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24.683,17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854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79,84%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5A6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6B2ACD5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D22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1EE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468.612,91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2E3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857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56.614,41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FFE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12,08%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9E6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6923B9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26B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40C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12.743,73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AC8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59E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13.988,15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44C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109,76%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F0F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7152787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5C6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4241 Knjige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D73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12.743,73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55D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FDB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13.988,15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ECF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109,76%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872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53E3B72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296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 Višegodišnji nasadi i osnovno stado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399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78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0E2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27.913,75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018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A94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0C246C9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43C1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4251 Višegodišnji nasadi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29F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B7D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656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26.863,75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EFA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801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4F3E3E9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B6F2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4252 Osnovno stado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620A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0AD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124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19C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443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8BC4992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C2D6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 Nematerijalna proizvedena imovina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4F4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1.956,83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3D5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0C7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29.656,25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431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1515,53%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7C87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8C46731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298C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4262 Ulaganja u računalne programe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D2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150,58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8E1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E69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486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7230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541776D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8EC7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4263 Umjetnička, literarna i znanstvena djela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492D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17D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75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895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F4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73FA698F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7FDE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4264 Ostala nematerijalna proizvedena imovina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375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1.806,25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1B8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69D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7.656,25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BF8A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423,88%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E7D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178A326C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7FF8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320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88.960,89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DD5B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2.998.183,27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C959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200.805,89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1448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225,72%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C36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6,70%</w:t>
            </w:r>
          </w:p>
        </w:tc>
      </w:tr>
      <w:tr w:rsidR="007D1261" w:rsidRPr="007D1261" w14:paraId="575EAFA6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1C73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242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87.129,60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FEF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F3F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200.805,89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ABD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230,47%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F70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66491E1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4BCB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4511 Dodatna ulaganja na građevinskim objektima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987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87.129,60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FDE5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01A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200.805,89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084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230,47%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D7F1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3E2EAB5B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C3D4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452 Dodatna ulaganja na postrojenjima i opremi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5854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1.831,29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72F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CBE6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30F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2C42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7D1261" w:rsidRPr="007D1261" w14:paraId="29CE6C44" w14:textId="77777777" w:rsidTr="006920CF">
        <w:trPr>
          <w:trHeight w:val="26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918F" w14:textId="77777777" w:rsidR="007D1261" w:rsidRPr="007D1261" w:rsidRDefault="007D1261" w:rsidP="007D12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4521 Dodatna ulaganja na postrojenjima i opremi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EA13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1.831,29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AD8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BB1C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068E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7D126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1FED" w14:textId="77777777" w:rsidR="007D1261" w:rsidRPr="007D1261" w:rsidRDefault="007D1261" w:rsidP="007D126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00002FBA" w14:textId="77777777" w:rsidR="0030068A" w:rsidRPr="00C1205D" w:rsidRDefault="0030068A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67F6D09F" w14:textId="18AD4BFF" w:rsidR="0091085F" w:rsidRDefault="00E35E7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C1205D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ab/>
      </w:r>
      <w:r w:rsidR="0076237E" w:rsidRPr="00C1205D">
        <w:rPr>
          <w:rFonts w:asciiTheme="minorHAnsi" w:hAnsiTheme="minorHAnsi" w:cstheme="minorHAnsi"/>
          <w:b/>
          <w:sz w:val="24"/>
          <w:szCs w:val="24"/>
          <w:lang w:eastAsia="hr-HR"/>
        </w:rPr>
        <w:t>1.2.</w:t>
      </w:r>
      <w:r w:rsidR="00E2358A" w:rsidRPr="00C1205D">
        <w:rPr>
          <w:rFonts w:asciiTheme="minorHAnsi" w:hAnsiTheme="minorHAnsi" w:cstheme="minorHAnsi"/>
          <w:b/>
          <w:sz w:val="24"/>
          <w:szCs w:val="24"/>
          <w:lang w:eastAsia="hr-HR"/>
        </w:rPr>
        <w:t>2.</w:t>
      </w:r>
      <w:r w:rsidR="005A758B" w:rsidRPr="00C1205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Prihodi i rashodi prema izvorima financiranja</w:t>
      </w:r>
    </w:p>
    <w:p w14:paraId="2F1E5A45" w14:textId="77777777" w:rsidR="00B247FF" w:rsidRDefault="00B247FF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0DF01B06" w14:textId="77777777" w:rsidR="00C52051" w:rsidRDefault="00C52051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4674" w:type="dxa"/>
        <w:tblLook w:val="04A0" w:firstRow="1" w:lastRow="0" w:firstColumn="1" w:lastColumn="0" w:noHBand="0" w:noVBand="1"/>
      </w:tblPr>
      <w:tblGrid>
        <w:gridCol w:w="7513"/>
        <w:gridCol w:w="1843"/>
        <w:gridCol w:w="1701"/>
        <w:gridCol w:w="1559"/>
        <w:gridCol w:w="1058"/>
        <w:gridCol w:w="1000"/>
      </w:tblGrid>
      <w:tr w:rsidR="006920CF" w:rsidRPr="006920CF" w14:paraId="27C257AF" w14:textId="77777777" w:rsidTr="006920CF">
        <w:trPr>
          <w:trHeight w:val="27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A32F90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C649CBA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DD573F" w14:textId="2D32BAC3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Rebalans </w:t>
            </w: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68F743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E283FA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EE0854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C52051" w:rsidRPr="00C52051" w14:paraId="0FA5415A" w14:textId="77777777" w:rsidTr="006920CF">
        <w:trPr>
          <w:trHeight w:val="27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5AA8DE4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B12624E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B523B8D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CC37BAB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26C3B3F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29977D" w14:textId="77777777" w:rsidR="00C52051" w:rsidRPr="00C52051" w:rsidRDefault="00C52051" w:rsidP="00C520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52051" w:rsidRPr="00C52051" w14:paraId="7AAE5450" w14:textId="77777777" w:rsidTr="006920CF">
        <w:trPr>
          <w:trHeight w:val="27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1C8C0DF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D9C1BE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5.429.220,72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8E6D92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16.094.352,19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B24EF5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5.731.642,32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2FF2F2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105,57%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2C0D4B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35,61%</w:t>
            </w:r>
          </w:p>
        </w:tc>
      </w:tr>
      <w:tr w:rsidR="00C52051" w:rsidRPr="00C52051" w14:paraId="00BCF30C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725C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D91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1.947.589,40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EF0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4.639.742,00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899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2.102.478,79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C8D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107,95%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6E7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45,31%</w:t>
            </w:r>
          </w:p>
        </w:tc>
      </w:tr>
      <w:tr w:rsidR="00C52051" w:rsidRPr="00C52051" w14:paraId="4AE2A309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BF7D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1E1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1.947.589,40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2B2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4.639.742,00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461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2.102.478,79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DE4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107,95%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3D6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45,31%</w:t>
            </w:r>
          </w:p>
        </w:tc>
      </w:tr>
      <w:tr w:rsidR="00C52051" w:rsidRPr="00C52051" w14:paraId="73A2A7C2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6B74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438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188.525,42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FAE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107.800,00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D1C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63.138,40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583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33,49%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753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58,57%</w:t>
            </w:r>
          </w:p>
        </w:tc>
      </w:tr>
      <w:tr w:rsidR="00C52051" w:rsidRPr="00C52051" w14:paraId="404011B6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AE65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285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188.525,42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6EA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107.800,00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608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63.138,40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DCA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33,49%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DD8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58,57%</w:t>
            </w:r>
          </w:p>
        </w:tc>
      </w:tr>
      <w:tr w:rsidR="00C52051" w:rsidRPr="00C52051" w14:paraId="09B19DC4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4263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D6E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387.522,42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87B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1.268.645,26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D7A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569.090,04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809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146,85%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963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44,86%</w:t>
            </w:r>
          </w:p>
        </w:tc>
      </w:tr>
      <w:tr w:rsidR="00C52051" w:rsidRPr="00C52051" w14:paraId="75688AA1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1D4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112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387.522,42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6E4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983.645,26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2A2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385.843,53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FE8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99,57%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EA1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39,23%</w:t>
            </w:r>
          </w:p>
        </w:tc>
      </w:tr>
      <w:tr w:rsidR="00C52051" w:rsidRPr="00C52051" w14:paraId="4FE40435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376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458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215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27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183.246,51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EF7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37F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64,30%</w:t>
            </w:r>
          </w:p>
        </w:tc>
      </w:tr>
      <w:tr w:rsidR="00C52051" w:rsidRPr="00C52051" w14:paraId="79CC12A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4589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824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2.794.331,83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615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8.085.364,93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288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2.920.879,93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D32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104,53%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37E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36,13%</w:t>
            </w:r>
          </w:p>
        </w:tc>
      </w:tr>
      <w:tr w:rsidR="00C52051" w:rsidRPr="00C52051" w14:paraId="47B5EF39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7A2B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93D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2.192,98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9A1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40.290,00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5A8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12.701,08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64F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579,17%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6C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31,52%</w:t>
            </w:r>
          </w:p>
        </w:tc>
      </w:tr>
      <w:tr w:rsidR="00C52051" w:rsidRPr="00C52051" w14:paraId="2D43AFA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350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0BE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2.084.511,67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758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5.397.251,96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0A7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2.347.783,16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617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112,63%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4EC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43,50%</w:t>
            </w:r>
          </w:p>
        </w:tc>
      </w:tr>
      <w:tr w:rsidR="00C52051" w:rsidRPr="00C52051" w14:paraId="52E8421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F882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4E5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283.562,61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6BD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1.139.143,06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250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14.050,60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31C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4,96%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434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1,23%</w:t>
            </w:r>
          </w:p>
        </w:tc>
      </w:tr>
      <w:tr w:rsidR="00C52051" w:rsidRPr="00C52051" w14:paraId="550B5D38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BF94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6C5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252.521,16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AB0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1.014.565,03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330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344.231,11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9D4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136,32%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0DC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33,93%</w:t>
            </w:r>
          </w:p>
        </w:tc>
      </w:tr>
      <w:tr w:rsidR="00C52051" w:rsidRPr="00C52051" w14:paraId="5BBD7B9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0ED4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9A8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171.543,41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14A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494.114,88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0C3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202.113,98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E4B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117,82%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C7F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40,90%</w:t>
            </w:r>
          </w:p>
        </w:tc>
      </w:tr>
      <w:tr w:rsidR="00C52051" w:rsidRPr="00C52051" w14:paraId="49330E8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2B7F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603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44.906,50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A10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A10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33.887,16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07B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75,46%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F67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27,60%</w:t>
            </w:r>
          </w:p>
        </w:tc>
      </w:tr>
      <w:tr w:rsidR="00C52051" w:rsidRPr="00C52051" w14:paraId="4F3C321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9488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FB6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44.906,50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4C2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5FE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33.887,16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757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75,46%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225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27,60%</w:t>
            </w:r>
          </w:p>
        </w:tc>
      </w:tr>
      <w:tr w:rsidR="00C52051" w:rsidRPr="00C52051" w14:paraId="10724821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DD85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1B7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66.345,15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B5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A23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42.168,00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0D5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63,56%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814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2,25%</w:t>
            </w:r>
          </w:p>
        </w:tc>
      </w:tr>
      <w:tr w:rsidR="00C52051" w:rsidRPr="00C52051" w14:paraId="5429D11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CA78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nef</w:t>
            </w:r>
            <w:proofErr w:type="spellEnd"/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251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66.345,15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2EA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AED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42.168,00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471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63,56%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1BE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2,25%</w:t>
            </w:r>
          </w:p>
        </w:tc>
      </w:tr>
      <w:tr w:rsidR="00C52051" w:rsidRPr="00C52051" w14:paraId="22783344" w14:textId="77777777" w:rsidTr="006920CF">
        <w:trPr>
          <w:trHeight w:val="27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A36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E75C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83B2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244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63FA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0E3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52051" w:rsidRPr="00C52051" w14:paraId="17B13221" w14:textId="77777777" w:rsidTr="006920CF">
        <w:trPr>
          <w:trHeight w:val="27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8536A6D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326D6A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5.418.948,80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406871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19.562.802,71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979217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7.022.189,24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705E7B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129,59%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897194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35,90%</w:t>
            </w:r>
          </w:p>
        </w:tc>
      </w:tr>
      <w:tr w:rsidR="00C52051" w:rsidRPr="00C52051" w14:paraId="33E32DBD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C919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84E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1.833.718,08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239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5.171.537,40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9FB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2.392.784,93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0D7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130,49%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332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46,27%</w:t>
            </w:r>
          </w:p>
        </w:tc>
      </w:tr>
      <w:tr w:rsidR="00C52051" w:rsidRPr="00C52051" w14:paraId="7CD60802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80B5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597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1.833.718,08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655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5.171.537,40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CA1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2.392.784,93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F49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130,49%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D27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46,27%</w:t>
            </w:r>
          </w:p>
        </w:tc>
      </w:tr>
      <w:tr w:rsidR="00C52051" w:rsidRPr="00C52051" w14:paraId="3C2AB6E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25A5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FA9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166.233,50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4FE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121.364,21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B4C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31.022,07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F7E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18,66%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43C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25,56%</w:t>
            </w:r>
          </w:p>
        </w:tc>
      </w:tr>
      <w:tr w:rsidR="00C52051" w:rsidRPr="00C52051" w14:paraId="24B5383C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EAEC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2C0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166.233,50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457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121.364,21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6A2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31.022,07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5EA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18,66%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98D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25,56%</w:t>
            </w:r>
          </w:p>
        </w:tc>
      </w:tr>
      <w:tr w:rsidR="00C52051" w:rsidRPr="00C52051" w14:paraId="42076429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1303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434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252.419,98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489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1.478.783,20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D45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510.292,30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68D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202,16%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ECA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34,51%</w:t>
            </w:r>
          </w:p>
        </w:tc>
      </w:tr>
      <w:tr w:rsidR="00C52051" w:rsidRPr="00C52051" w14:paraId="211695C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5A27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5B2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252.419,98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41A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1.089.900,66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BD5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392.578,35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C7C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155,53%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5CA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36,02%</w:t>
            </w:r>
          </w:p>
        </w:tc>
      </w:tr>
      <w:tr w:rsidR="00C52051" w:rsidRPr="00C52051" w14:paraId="4DE6E81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2A6A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2204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B08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388.882,54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B99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117.713,95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45B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884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30,27%</w:t>
            </w:r>
          </w:p>
        </w:tc>
      </w:tr>
      <w:tr w:rsidR="00C52051" w:rsidRPr="00C52051" w14:paraId="6EC34C28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2542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197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2.830.994,43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9E7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7.477.398,53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B92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3.674.354,10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23E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129,79%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DA2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49,14%</w:t>
            </w:r>
          </w:p>
        </w:tc>
      </w:tr>
      <w:tr w:rsidR="00C52051" w:rsidRPr="00C52051" w14:paraId="76666AAE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7EA2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007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1.695,91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B97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18.730,00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A53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12.701,08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CAD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748,92%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432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67,81%</w:t>
            </w:r>
          </w:p>
        </w:tc>
      </w:tr>
      <w:tr w:rsidR="00C52051" w:rsidRPr="00C52051" w14:paraId="5975EAD9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94AA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168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2.043.154,95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DC1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5.499.758,59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3E8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2.654.505,43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D6D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129,92%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3A5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48,27%</w:t>
            </w:r>
          </w:p>
        </w:tc>
      </w:tr>
      <w:tr w:rsidR="00C52051" w:rsidRPr="00C52051" w14:paraId="2593215C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743B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Izvor 5.3. Izvanproračunski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B66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427.679,25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656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324.877,00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43E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243.311,45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026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56,89%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FAD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74,89%</w:t>
            </w:r>
          </w:p>
        </w:tc>
      </w:tr>
      <w:tr w:rsidR="00C52051" w:rsidRPr="00C52051" w14:paraId="576454F5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7C73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F9D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124.063,26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20B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1.140.140,00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F3F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557.392,00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F80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449,28%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99C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48,89%</w:t>
            </w:r>
          </w:p>
        </w:tc>
      </w:tr>
      <w:tr w:rsidR="00C52051" w:rsidRPr="00C52051" w14:paraId="1656F33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1EA9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033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234.401,06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922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493.892,94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6E6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206.444,14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706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88,07%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1DB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41,80%</w:t>
            </w:r>
          </w:p>
        </w:tc>
      </w:tr>
      <w:tr w:rsidR="00C52051" w:rsidRPr="00C52051" w14:paraId="2C8A6B7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30AA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BFA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44.906,50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3D1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28C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33.887,16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FAD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75,46%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F72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27,60%</w:t>
            </w:r>
          </w:p>
        </w:tc>
      </w:tr>
      <w:tr w:rsidR="00C52051" w:rsidRPr="00C52051" w14:paraId="1991FBBD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13E4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F33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44.906,50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23B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9C17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33.887,16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126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75,46%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7AA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27,60%</w:t>
            </w:r>
          </w:p>
        </w:tc>
      </w:tr>
      <w:tr w:rsidR="00C52051" w:rsidRPr="00C52051" w14:paraId="4DC1A948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357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D0D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22.480,45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C3E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1.974.492,87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1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23.465,11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22C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104,38%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E60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1,19%</w:t>
            </w:r>
          </w:p>
        </w:tc>
      </w:tr>
      <w:tr w:rsidR="00C52051" w:rsidRPr="00C52051" w14:paraId="64CD2B15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157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nef</w:t>
            </w:r>
            <w:proofErr w:type="spellEnd"/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1AD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22.480,45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89F1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1.974.492,87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A23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23.465,11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E72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104,38%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068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1,19%</w:t>
            </w:r>
          </w:p>
        </w:tc>
      </w:tr>
      <w:tr w:rsidR="00C52051" w:rsidRPr="00C52051" w14:paraId="7117B8A4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B8FE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C57D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FE6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FBB9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356.383,57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74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307,23%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4EF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11,08%</w:t>
            </w:r>
          </w:p>
        </w:tc>
      </w:tr>
      <w:tr w:rsidR="00C52051" w:rsidRPr="00C52051" w14:paraId="424DA3A1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5407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727A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754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1A04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356.383,57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B56B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307,23%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728F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11,08%</w:t>
            </w:r>
          </w:p>
        </w:tc>
      </w:tr>
      <w:tr w:rsidR="00C52051" w:rsidRPr="00C52051" w14:paraId="1BE6BEC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1C80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 9. Višak iz prethodnih razdoblja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192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152.195,86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4E38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B9F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5F9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11A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52051" w:rsidRPr="00C52051" w14:paraId="767B6E80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13E9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Izvor 9.1. Višak iz prethodnih godina - </w:t>
            </w:r>
            <w:proofErr w:type="spellStart"/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Prorač.korisnici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CB40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3.924,22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4EF5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FEBE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4E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3796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</w:tr>
      <w:tr w:rsidR="00C52051" w:rsidRPr="00C52051" w14:paraId="2DEA1506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0BD3" w14:textId="77777777" w:rsidR="00C52051" w:rsidRPr="00C52051" w:rsidRDefault="00C52051" w:rsidP="00C520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9.2. Višak iz prethodnih godina - Grad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8A1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148.271,64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CE73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D9A2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FD1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C2C" w14:textId="77777777" w:rsidR="00C52051" w:rsidRPr="00C52051" w:rsidRDefault="00C52051" w:rsidP="00C520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5205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0,00%</w:t>
            </w:r>
          </w:p>
        </w:tc>
      </w:tr>
    </w:tbl>
    <w:p w14:paraId="4EA8420C" w14:textId="77777777" w:rsidR="00C52051" w:rsidRDefault="00C52051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4DC7A2CB" w14:textId="77777777" w:rsidR="0091085F" w:rsidRDefault="0091085F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6100855F" w14:textId="77777777" w:rsidR="00547382" w:rsidRPr="00C1205D" w:rsidRDefault="00547382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15E37DF1" w14:textId="33973253" w:rsidR="00CF5C84" w:rsidRPr="006920CF" w:rsidRDefault="00E35E70" w:rsidP="006920CF">
      <w:pPr>
        <w:pStyle w:val="Odlomakpopisa"/>
        <w:numPr>
          <w:ilvl w:val="2"/>
          <w:numId w:val="15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>Rashodi prema funkcijskoj klasifikaciji</w:t>
      </w:r>
    </w:p>
    <w:p w14:paraId="6B5B11B7" w14:textId="77777777" w:rsidR="00CF5C84" w:rsidRDefault="00CF5C84" w:rsidP="002E01EA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7513"/>
        <w:gridCol w:w="2020"/>
        <w:gridCol w:w="1580"/>
        <w:gridCol w:w="1500"/>
        <w:gridCol w:w="995"/>
        <w:gridCol w:w="992"/>
      </w:tblGrid>
      <w:tr w:rsidR="000D49BE" w:rsidRPr="000D49BE" w14:paraId="608768F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F33CE6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67419BA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F0BA3B4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Rebalans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93ED88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20C5CA4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F4AB826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0D49BE" w:rsidRPr="000D49BE" w14:paraId="3786A9E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D2B06F" w14:textId="77777777" w:rsidR="000D49BE" w:rsidRPr="000D49BE" w:rsidRDefault="000D49BE" w:rsidP="000D49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C770F6" w14:textId="77777777" w:rsidR="000D49BE" w:rsidRPr="000D49BE" w:rsidRDefault="000D49BE" w:rsidP="000D49BE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0D49BE">
              <w:rPr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4550A8" w14:textId="77777777" w:rsidR="000D49BE" w:rsidRPr="000D49BE" w:rsidRDefault="000D49BE" w:rsidP="000D49BE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0D49BE">
              <w:rPr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233F4DA" w14:textId="77777777" w:rsidR="000D49BE" w:rsidRPr="000D49BE" w:rsidRDefault="000D49BE" w:rsidP="000D49BE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0D49BE">
              <w:rPr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E453566" w14:textId="77777777" w:rsidR="000D49BE" w:rsidRPr="000D49BE" w:rsidRDefault="000D49BE" w:rsidP="000D49BE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0D49BE">
              <w:rPr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1E5A9A" w14:textId="77777777" w:rsidR="000D49BE" w:rsidRPr="000D49BE" w:rsidRDefault="000D49BE" w:rsidP="000D49BE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0D49BE">
              <w:rPr>
                <w:sz w:val="20"/>
                <w:szCs w:val="20"/>
                <w:lang w:eastAsia="hr-HR"/>
              </w:rPr>
              <w:t>5</w:t>
            </w:r>
          </w:p>
        </w:tc>
      </w:tr>
      <w:tr w:rsidR="000D49BE" w:rsidRPr="000D49BE" w14:paraId="7A9B5471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430C23C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FFFFFF"/>
                <w:sz w:val="20"/>
                <w:szCs w:val="20"/>
                <w:lang w:eastAsia="hr-HR"/>
              </w:rPr>
              <w:t>SVEUKUPNI RASHODI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D983DEF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FFFFFF"/>
                <w:sz w:val="20"/>
                <w:szCs w:val="20"/>
                <w:lang w:eastAsia="hr-HR"/>
              </w:rPr>
              <w:t>5.418.948,80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48CADE6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FFFFFF"/>
                <w:sz w:val="20"/>
                <w:szCs w:val="20"/>
                <w:lang w:eastAsia="hr-HR"/>
              </w:rPr>
              <w:t>19.562.802,71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3F8339C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FFFFFF"/>
                <w:sz w:val="20"/>
                <w:szCs w:val="20"/>
                <w:lang w:eastAsia="hr-HR"/>
              </w:rPr>
              <w:t>7.022.189,24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3E0C69A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FFFFFF"/>
                <w:sz w:val="20"/>
                <w:szCs w:val="20"/>
                <w:lang w:eastAsia="hr-HR"/>
              </w:rPr>
              <w:t>129,59%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1300779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FFFFFF"/>
                <w:sz w:val="20"/>
                <w:szCs w:val="20"/>
                <w:lang w:eastAsia="hr-HR"/>
              </w:rPr>
              <w:t>35,90%</w:t>
            </w:r>
          </w:p>
        </w:tc>
      </w:tr>
      <w:tr w:rsidR="000D49BE" w:rsidRPr="000D49BE" w14:paraId="3F62C636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68B0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08AD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705.844,25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7511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1.708.952,00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EB11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725.056,91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A624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102,72%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B169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42,43%</w:t>
            </w:r>
          </w:p>
        </w:tc>
      </w:tr>
      <w:tr w:rsidR="000D49BE" w:rsidRPr="000D49BE" w14:paraId="53952D9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E0E1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AB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705.844,25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3CA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1.708.952,00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F4B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725.056,91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CC3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102,72%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B78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42,43%</w:t>
            </w:r>
          </w:p>
        </w:tc>
      </w:tr>
      <w:tr w:rsidR="000D49BE" w:rsidRPr="000D49BE" w14:paraId="646B9C1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728B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132B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15D6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9BF1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474A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A72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34,75%</w:t>
            </w:r>
          </w:p>
        </w:tc>
      </w:tr>
      <w:tr w:rsidR="000D49BE" w:rsidRPr="000D49BE" w14:paraId="4371B991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7E11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FAA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1C5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7A2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A1E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DBB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34,75%</w:t>
            </w:r>
          </w:p>
        </w:tc>
      </w:tr>
      <w:tr w:rsidR="000D49BE" w:rsidRPr="000D49BE" w14:paraId="498E9E14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C637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2452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446.355,08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067A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1.086.436,57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41FF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610.617,10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BF02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136,80%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94BC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56,20%</w:t>
            </w:r>
          </w:p>
        </w:tc>
      </w:tr>
      <w:tr w:rsidR="000D49BE" w:rsidRPr="000D49BE" w14:paraId="3E2737DD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3E6D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E1A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446.355,08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4F2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1.076.936,57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9D2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610.617,10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885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136,80%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2B0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56,70%</w:t>
            </w:r>
          </w:p>
        </w:tc>
      </w:tr>
      <w:tr w:rsidR="000D49BE" w:rsidRPr="000D49BE" w14:paraId="1682A75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DE39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E862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A98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9E28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300F" w14:textId="77777777" w:rsidR="000D49BE" w:rsidRPr="000D49BE" w:rsidRDefault="000D49BE" w:rsidP="000D4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8CE2" w14:textId="77777777" w:rsidR="000D49BE" w:rsidRPr="000D49BE" w:rsidRDefault="000D49BE" w:rsidP="000D4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49BE" w:rsidRPr="000D49BE" w14:paraId="00A9A24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D4BB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C3C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174.475,81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8BD3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2.108.347,06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F205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335.164,34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97E4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192,10%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B2C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15,90%</w:t>
            </w:r>
          </w:p>
        </w:tc>
      </w:tr>
      <w:tr w:rsidR="000D49BE" w:rsidRPr="000D49BE" w14:paraId="4DB65162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A4A2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041 Opći ekonomski, trgovački i poslovi vezani uz rad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887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4.809,06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D3C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498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29.220,88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2193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607,62%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FA9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53,13%</w:t>
            </w:r>
          </w:p>
        </w:tc>
      </w:tr>
      <w:tr w:rsidR="000D49BE" w:rsidRPr="000D49BE" w14:paraId="3A44D5E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0C18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D95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63.566,04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02F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121.847,06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DE6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85.061,06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1998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133,82%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9F9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69,81%</w:t>
            </w:r>
          </w:p>
        </w:tc>
      </w:tr>
      <w:tr w:rsidR="000D49BE" w:rsidRPr="000D49BE" w14:paraId="1F69542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7A73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043 Gorivo i energija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851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42.039,61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973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1CF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49.978,06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D18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118,88%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D88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52,06%</w:t>
            </w:r>
          </w:p>
        </w:tc>
      </w:tr>
      <w:tr w:rsidR="000D49BE" w:rsidRPr="000D49BE" w14:paraId="2DB82329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8DAD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E51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39.061,08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628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1.741.500,00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66E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79.904,34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820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204,56%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356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4,59%</w:t>
            </w:r>
          </w:p>
        </w:tc>
      </w:tr>
      <w:tr w:rsidR="000D49BE" w:rsidRPr="000D49BE" w14:paraId="41EBAFD4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A09B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237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25.000,02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645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4F18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34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364,00%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502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96,81%</w:t>
            </w:r>
          </w:p>
        </w:tc>
      </w:tr>
      <w:tr w:rsidR="000D49BE" w:rsidRPr="000D49BE" w14:paraId="2049B9CC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3DEC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3B6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649.743,14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F93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1.929.578,50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BDAD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264.621,78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51B7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40,73%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B85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13,71%</w:t>
            </w:r>
          </w:p>
        </w:tc>
      </w:tr>
      <w:tr w:rsidR="000D49BE" w:rsidRPr="000D49BE" w14:paraId="487BDF7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98EE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C9C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617.342,95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105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1.885.578,50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B2A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247.456,97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759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40,08%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72F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13,12%</w:t>
            </w:r>
          </w:p>
        </w:tc>
      </w:tr>
      <w:tr w:rsidR="000D49BE" w:rsidRPr="000D49BE" w14:paraId="5AB3C5E2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1791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053 Smanjenje zagađivanja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F8E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3.174,94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BC7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C3D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2.223,75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328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70,04%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359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31,77%</w:t>
            </w:r>
          </w:p>
        </w:tc>
      </w:tr>
      <w:tr w:rsidR="000D49BE" w:rsidRPr="000D49BE" w14:paraId="78031EB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5BD3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76A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29.225,25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FB8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E368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14.941,06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D37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51,12%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548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40,38%</w:t>
            </w:r>
          </w:p>
        </w:tc>
      </w:tr>
      <w:tr w:rsidR="000D49BE" w:rsidRPr="000D49BE" w14:paraId="4DB0DE9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C0CD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06 Usluge unapređenja stanovanja i zajednice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310B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385.210,70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5227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3.402.910,51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963C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730.416,16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3D22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189,61%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2A2D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21,46%</w:t>
            </w:r>
          </w:p>
        </w:tc>
      </w:tr>
      <w:tr w:rsidR="000D49BE" w:rsidRPr="000D49BE" w14:paraId="6163BDCE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CD7B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B41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66.006,89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7A8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547.871,64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62A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277.174,88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9EE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419,92%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A00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50,59%</w:t>
            </w:r>
          </w:p>
        </w:tc>
      </w:tr>
      <w:tr w:rsidR="000D49BE" w:rsidRPr="000D49BE" w14:paraId="0A02455C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72C2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063 Opskrba vodom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5E0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3.986,51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45C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153.850,00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BA3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6.569,59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781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164,80%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04D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4,27%</w:t>
            </w:r>
          </w:p>
        </w:tc>
      </w:tr>
      <w:tr w:rsidR="000D49BE" w:rsidRPr="000D49BE" w14:paraId="6FB2948A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9611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D42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82.319,14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DA8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D73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78.272,00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64B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95,08%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B7B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42,08%</w:t>
            </w:r>
          </w:p>
        </w:tc>
      </w:tr>
      <w:tr w:rsidR="000D49BE" w:rsidRPr="000D49BE" w14:paraId="7F30C84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6BE4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EA1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232.898,16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1DA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2.515.188,87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1FB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368.399,69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376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158,18%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540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14,65%</w:t>
            </w:r>
          </w:p>
        </w:tc>
      </w:tr>
      <w:tr w:rsidR="000D49BE" w:rsidRPr="000D49BE" w14:paraId="4F7B2925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C13B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B6E4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4.363,48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D74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221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7.509,47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F372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172,10%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38A7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51,08%</w:t>
            </w:r>
          </w:p>
        </w:tc>
      </w:tr>
      <w:tr w:rsidR="000D49BE" w:rsidRPr="000D49BE" w14:paraId="5CEE74D5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5F69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072 Službe za vanjske pacijente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195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4.363,48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AC93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483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7.509,47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298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172,10%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4D4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51,08%</w:t>
            </w:r>
          </w:p>
        </w:tc>
      </w:tr>
      <w:tr w:rsidR="000D49BE" w:rsidRPr="000D49BE" w14:paraId="44B870B2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9B4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3E91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244.428,46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01C9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618.455,00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764E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349.690,47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5299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143,06%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7D43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56,54%</w:t>
            </w:r>
          </w:p>
        </w:tc>
      </w:tr>
      <w:tr w:rsidR="000D49BE" w:rsidRPr="000D49BE" w14:paraId="248775A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3228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0C0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99.500,02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977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277.500,00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E85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138.910,70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E9C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139,61%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BD9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50,06%</w:t>
            </w:r>
          </w:p>
        </w:tc>
      </w:tr>
      <w:tr w:rsidR="000D49BE" w:rsidRPr="000D49BE" w14:paraId="1034AE09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7DA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820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69.913,52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BBF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180.650,00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4E9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90.773,40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0E7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129,84%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5D8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50,25%</w:t>
            </w:r>
          </w:p>
        </w:tc>
      </w:tr>
      <w:tr w:rsidR="000D49BE" w:rsidRPr="000D49BE" w14:paraId="5925ABAF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5195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083 Službe emitiranja i izdavanja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9173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30.699,16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DE3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C98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36.036,02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189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117,38%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2D33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52,23%</w:t>
            </w:r>
          </w:p>
        </w:tc>
      </w:tr>
      <w:tr w:rsidR="000D49BE" w:rsidRPr="000D49BE" w14:paraId="23D0EBD2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2E38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E56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44.315,76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3A3A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91.305,00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7C5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83.970,35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009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189,48%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D67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91,97%</w:t>
            </w:r>
          </w:p>
        </w:tc>
      </w:tr>
      <w:tr w:rsidR="000D49BE" w:rsidRPr="000D49BE" w14:paraId="0D267988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C4D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F49D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2.601.056,82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FF2E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8.091.293,07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60E0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3.653.676,92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510F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140,47%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8490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45,16%</w:t>
            </w:r>
          </w:p>
        </w:tc>
      </w:tr>
      <w:tr w:rsidR="000D49BE" w:rsidRPr="000D49BE" w14:paraId="0F0FC3C5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1B91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564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2.596.184,92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C78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7.716.571,48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ECD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3.437.007,05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D94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132,39%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C128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44,54%</w:t>
            </w:r>
          </w:p>
        </w:tc>
      </w:tr>
      <w:tr w:rsidR="000D49BE" w:rsidRPr="000D49BE" w14:paraId="0B2F4743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24CC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923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4.871,90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077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747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3.531,00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8B3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72,48%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AD5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33,00%</w:t>
            </w:r>
          </w:p>
        </w:tc>
      </w:tr>
      <w:tr w:rsidR="000D49BE" w:rsidRPr="000D49BE" w14:paraId="67431CD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7D5A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096 Dodatne usluge u obrazovanju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BF62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FCB3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364.021,59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40A8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213.138,87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60D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1DF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58,55%</w:t>
            </w:r>
          </w:p>
        </w:tc>
      </w:tr>
      <w:tr w:rsidR="000D49BE" w:rsidRPr="000D49BE" w14:paraId="45DDF920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3FF8" w14:textId="77777777" w:rsidR="000D49BE" w:rsidRPr="000D49BE" w:rsidRDefault="000D49BE" w:rsidP="000D49B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DB18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202.954,18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04EE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589.130,00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F6CD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340.919,21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F63A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167,98%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1485" w14:textId="77777777" w:rsidR="000D49BE" w:rsidRPr="000D49BE" w:rsidRDefault="000D49BE" w:rsidP="000D49B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b/>
                <w:bCs/>
                <w:color w:val="000000"/>
                <w:sz w:val="20"/>
                <w:szCs w:val="20"/>
                <w:lang w:eastAsia="hr-HR"/>
              </w:rPr>
              <w:t>57,87%</w:t>
            </w:r>
          </w:p>
        </w:tc>
      </w:tr>
      <w:tr w:rsidR="000D49BE" w:rsidRPr="000D49BE" w14:paraId="23FAC997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0D0D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900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14.403,40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24F4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838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16.033,40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9DB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111,32%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611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87,14%</w:t>
            </w:r>
          </w:p>
        </w:tc>
      </w:tr>
      <w:tr w:rsidR="000D49BE" w:rsidRPr="000D49BE" w14:paraId="26A7F7DB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6BE9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C37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39.152,77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067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118.430,00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148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41.845,38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139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106,88%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E57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35,33%</w:t>
            </w:r>
          </w:p>
        </w:tc>
      </w:tr>
      <w:tr w:rsidR="000D49BE" w:rsidRPr="000D49BE" w14:paraId="466A5BC0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4150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105 Nezaposlenost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8B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125.425,94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8116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392.300,00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D739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238.281,03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825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189,98%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4AC0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60,74%</w:t>
            </w:r>
          </w:p>
        </w:tc>
      </w:tr>
      <w:tr w:rsidR="000D49BE" w:rsidRPr="000D49BE" w14:paraId="673E49A0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B0D5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E4A5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8.472,07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8527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02A3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6.759,40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D60B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79,78%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51FD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33,80%</w:t>
            </w:r>
          </w:p>
        </w:tc>
      </w:tr>
      <w:tr w:rsidR="000D49BE" w:rsidRPr="000D49BE" w14:paraId="79CAC00E" w14:textId="77777777" w:rsidTr="006920CF">
        <w:trPr>
          <w:trHeight w:val="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5C8F" w14:textId="77777777" w:rsidR="000D49BE" w:rsidRPr="000D49BE" w:rsidRDefault="000D49BE" w:rsidP="000D49BE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C731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9C8F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FA3C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92EE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245,16%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AB12" w14:textId="77777777" w:rsidR="000D49BE" w:rsidRPr="000D49BE" w:rsidRDefault="000D49BE" w:rsidP="000D49B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0D49BE">
              <w:rPr>
                <w:color w:val="000000"/>
                <w:sz w:val="20"/>
                <w:szCs w:val="20"/>
                <w:lang w:eastAsia="hr-HR"/>
              </w:rPr>
              <w:t>95,00%</w:t>
            </w:r>
          </w:p>
        </w:tc>
      </w:tr>
    </w:tbl>
    <w:p w14:paraId="22EA8AC7" w14:textId="77777777" w:rsidR="00701052" w:rsidRDefault="00701052" w:rsidP="00547382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43899138" w14:textId="77777777" w:rsidR="00547382" w:rsidRPr="00C1205D" w:rsidRDefault="00547382" w:rsidP="00547382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4FA13E79" w14:textId="2E11F63B" w:rsidR="00004BC8" w:rsidRPr="00C1205D" w:rsidRDefault="00004BC8" w:rsidP="00004BC8">
      <w:pPr>
        <w:pStyle w:val="Odlomakpopisa"/>
        <w:numPr>
          <w:ilvl w:val="1"/>
          <w:numId w:val="15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>Račun financiranja</w:t>
      </w:r>
    </w:p>
    <w:p w14:paraId="6B36BD88" w14:textId="77777777" w:rsidR="00004BC8" w:rsidRPr="00C1205D" w:rsidRDefault="00004BC8" w:rsidP="00004BC8">
      <w:pPr>
        <w:pStyle w:val="Odlomakpopisa"/>
        <w:ind w:left="675"/>
        <w:rPr>
          <w:rFonts w:asciiTheme="minorHAnsi" w:hAnsiTheme="minorHAnsi" w:cstheme="minorHAnsi"/>
          <w:b/>
          <w:color w:val="000000"/>
        </w:rPr>
      </w:pPr>
    </w:p>
    <w:p w14:paraId="14A92F84" w14:textId="30D27BBC" w:rsidR="00004BC8" w:rsidRDefault="00004BC8" w:rsidP="00B247F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 w:rsidRPr="00C1205D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1.3.1.</w:t>
      </w:r>
      <w:r w:rsidR="002E01EA" w:rsidRPr="00C1205D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 Račun financiranja prema ekonomskoj klasifikaciji</w:t>
      </w:r>
    </w:p>
    <w:p w14:paraId="4B080200" w14:textId="77777777" w:rsidR="00051C35" w:rsidRDefault="00051C35" w:rsidP="00B247F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4875" w:type="dxa"/>
        <w:tblLook w:val="04A0" w:firstRow="1" w:lastRow="0" w:firstColumn="1" w:lastColumn="0" w:noHBand="0" w:noVBand="1"/>
      </w:tblPr>
      <w:tblGrid>
        <w:gridCol w:w="8080"/>
        <w:gridCol w:w="1559"/>
        <w:gridCol w:w="1843"/>
        <w:gridCol w:w="1559"/>
        <w:gridCol w:w="983"/>
        <w:gridCol w:w="851"/>
      </w:tblGrid>
      <w:tr w:rsidR="00E570C4" w:rsidRPr="006920CF" w14:paraId="6EE28F1B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AD57813" w14:textId="6599391D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</w:t>
            </w:r>
            <w:r w:rsidR="009802E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č</w:t>
            </w: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un/Opis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A6C44F9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9ED6A8" w14:textId="66C26842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Rebalans </w:t>
            </w: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9DA878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95501B3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2EFE67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6920CF" w:rsidRPr="006920CF" w14:paraId="003A5233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498E8E9" w14:textId="5DD005A1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B. RAČUN 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92BEDE9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552F77C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AED22FD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644708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005F951" w14:textId="77777777" w:rsidR="006920CF" w:rsidRPr="006920CF" w:rsidRDefault="006920CF" w:rsidP="006920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6920CF" w:rsidRPr="006920CF" w14:paraId="7D0E61BA" w14:textId="77777777" w:rsidTr="00E570C4">
        <w:trPr>
          <w:trHeight w:val="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23BA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7CB7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DB5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D1CF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98A3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8606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6920CF" w:rsidRPr="006920CF" w14:paraId="5A547D50" w14:textId="77777777" w:rsidTr="00E570C4">
        <w:trPr>
          <w:trHeight w:val="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1CB3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84 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C9E2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A82F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FF0B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3F61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6C23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6920CF" w:rsidRPr="006920CF" w14:paraId="5798D41D" w14:textId="77777777" w:rsidTr="00E570C4">
        <w:trPr>
          <w:trHeight w:val="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56FA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AAC2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AAB8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314F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5CB9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E172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6920CF" w:rsidRPr="006920CF" w14:paraId="27C678FC" w14:textId="77777777" w:rsidTr="00E570C4">
        <w:trPr>
          <w:trHeight w:val="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4690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B69D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6A2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F746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0AC7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3FAC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6920CF" w:rsidRPr="006920CF" w14:paraId="5DCC58D3" w14:textId="77777777" w:rsidTr="00E570C4">
        <w:trPr>
          <w:trHeight w:val="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2AAD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547 Otplata glavnice primljenih zajmova od drugih razina vlasti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DB21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683E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D18A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6BC1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B609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6920CF" w:rsidRPr="006920CF" w14:paraId="56090BC8" w14:textId="77777777" w:rsidTr="00E570C4">
        <w:trPr>
          <w:trHeight w:val="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8387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5471 Otplata glavnice primljenih zajmova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8299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20C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F608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7190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874B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03E3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6920CF" w:rsidRPr="006920CF" w14:paraId="556C2BD3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05B2" w14:textId="77777777" w:rsidR="006920CF" w:rsidRPr="006920CF" w:rsidRDefault="006920CF" w:rsidP="006920C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7446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8FE1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542D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06FC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AB3" w14:textId="77777777" w:rsidR="006920CF" w:rsidRPr="006920CF" w:rsidRDefault="006920CF" w:rsidP="006920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286F89AB" w14:textId="77777777" w:rsidR="00051C35" w:rsidRDefault="00051C35" w:rsidP="00B247F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778F51F3" w14:textId="77777777" w:rsidR="00051C35" w:rsidRDefault="00051C35" w:rsidP="00B247F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7D60D11F" w14:textId="77777777" w:rsidR="00B247FF" w:rsidRPr="00C1205D" w:rsidRDefault="00B247FF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70C4B5C" w14:textId="77777777" w:rsidR="00B247FF" w:rsidRPr="00C1205D" w:rsidRDefault="00B247FF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5E794F8" w14:textId="366E6455" w:rsidR="00990DB3" w:rsidRPr="00C1205D" w:rsidRDefault="00004BC8" w:rsidP="00830A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C1205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1.3.2. </w:t>
      </w:r>
      <w:r w:rsidR="0051341B" w:rsidRPr="00C1205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Račun financiranja prema izvorima financiranja</w:t>
      </w:r>
    </w:p>
    <w:p w14:paraId="018EF9D0" w14:textId="77777777" w:rsidR="00B41057" w:rsidRDefault="00B41057" w:rsidP="00830A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14:paraId="476B2E0F" w14:textId="77777777" w:rsidR="00051C35" w:rsidRDefault="00051C35" w:rsidP="00830A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tbl>
      <w:tblPr>
        <w:tblW w:w="14820" w:type="dxa"/>
        <w:tblLook w:val="04A0" w:firstRow="1" w:lastRow="0" w:firstColumn="1" w:lastColumn="0" w:noHBand="0" w:noVBand="1"/>
      </w:tblPr>
      <w:tblGrid>
        <w:gridCol w:w="8080"/>
        <w:gridCol w:w="1560"/>
        <w:gridCol w:w="1984"/>
        <w:gridCol w:w="1276"/>
        <w:gridCol w:w="960"/>
        <w:gridCol w:w="960"/>
      </w:tblGrid>
      <w:tr w:rsidR="00CE4C22" w:rsidRPr="00CE4C22" w14:paraId="0F063879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4115B02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8DD26E2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2966B1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Rebalans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A559628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06E27C5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F85C9F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547382" w:rsidRPr="00CE4C22" w14:paraId="20773BE7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CB14568" w14:textId="751A924C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B. RAČUN 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7C0A39D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451892F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708D764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93C1955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1A48B0E" w14:textId="77777777" w:rsidR="00CE4C22" w:rsidRPr="00CE4C22" w:rsidRDefault="00CE4C22" w:rsidP="00CE4C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hr-HR"/>
              </w:rPr>
              <w:t>5</w:t>
            </w:r>
          </w:p>
        </w:tc>
      </w:tr>
      <w:tr w:rsidR="00547382" w:rsidRPr="00CE4C22" w14:paraId="4D8FC16E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1941E004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UKUPNI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0F3BC94B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03A5F730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1108995C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11F02100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442EAC2B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E4C22" w:rsidRPr="00CE4C22" w14:paraId="196573DB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65FD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 Namjenski primici /od fin.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6A42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4D88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0EEF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A6F7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17CA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E4C22" w:rsidRPr="00CE4C22" w14:paraId="6DD33466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595F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8.1. Namjenski primici /od fin. imovine i zaduživanja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6FEB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857A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3.216.426,50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83DE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C0E0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3A6D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547382" w:rsidRPr="00CE4C22" w14:paraId="1F14FCDE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5A8E0DDC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16B6A4D7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77DE7F81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2DCE68EE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629C500B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21B7B12E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E4C22" w:rsidRPr="00CE4C22" w14:paraId="19CB4014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8B3F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A503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359C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AA7D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7153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56EB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E4C22" w:rsidRPr="00CE4C22" w14:paraId="3BB0E472" w14:textId="77777777" w:rsidTr="00E570C4">
        <w:trPr>
          <w:trHeight w:val="26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66A" w14:textId="77777777" w:rsidR="00CE4C22" w:rsidRPr="00CE4C22" w:rsidRDefault="00CE4C22" w:rsidP="00CE4C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0E5C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AEB2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CE4C2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C33F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26E5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0551" w14:textId="77777777" w:rsidR="00CE4C22" w:rsidRPr="00CE4C22" w:rsidRDefault="00CE4C22" w:rsidP="00CE4C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34CB8B85" w14:textId="77777777" w:rsidR="00051C35" w:rsidRDefault="00051C35" w:rsidP="00830A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14:paraId="6F452A49" w14:textId="77777777" w:rsidR="001D2B5F" w:rsidRPr="00C1205D" w:rsidRDefault="001D2B5F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2D26C9EA" w14:textId="231A28B0" w:rsidR="00B21CC2" w:rsidRPr="00C1205D" w:rsidRDefault="00AA3C67" w:rsidP="00AA3C67">
      <w:pPr>
        <w:pStyle w:val="Odlomakpopisa"/>
        <w:numPr>
          <w:ilvl w:val="0"/>
          <w:numId w:val="16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>Izvještaj o izvršenju posebnog dijela proračuna</w:t>
      </w:r>
    </w:p>
    <w:p w14:paraId="7FC641F9" w14:textId="77777777" w:rsidR="00AA3C67" w:rsidRPr="00C1205D" w:rsidRDefault="00AA3C67" w:rsidP="00AA3C67">
      <w:pPr>
        <w:pStyle w:val="Odlomakpopisa"/>
        <w:ind w:left="360"/>
        <w:rPr>
          <w:rFonts w:asciiTheme="minorHAnsi" w:hAnsiTheme="minorHAnsi" w:cstheme="minorHAnsi"/>
          <w:b/>
          <w:color w:val="000000"/>
        </w:rPr>
      </w:pPr>
    </w:p>
    <w:p w14:paraId="2494B03B" w14:textId="5C96152B" w:rsidR="00E16B4C" w:rsidRPr="00C1205D" w:rsidRDefault="003E658E" w:rsidP="003E658E">
      <w:pPr>
        <w:pStyle w:val="Odlomakpopisa"/>
        <w:numPr>
          <w:ilvl w:val="1"/>
          <w:numId w:val="16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 xml:space="preserve"> </w:t>
      </w:r>
      <w:r w:rsidR="00AA3C67" w:rsidRPr="00C1205D">
        <w:rPr>
          <w:rFonts w:asciiTheme="minorHAnsi" w:hAnsiTheme="minorHAnsi" w:cstheme="minorHAnsi"/>
          <w:b/>
          <w:color w:val="000000"/>
        </w:rPr>
        <w:t>Izvršenje po organizacijskoj klasifikaciji</w:t>
      </w:r>
    </w:p>
    <w:p w14:paraId="77174EDF" w14:textId="77777777" w:rsidR="003E658E" w:rsidRDefault="003E658E" w:rsidP="003E658E">
      <w:pPr>
        <w:pStyle w:val="Odlomakpopisa"/>
        <w:ind w:left="540"/>
        <w:rPr>
          <w:rFonts w:asciiTheme="minorHAnsi" w:hAnsiTheme="minorHAnsi" w:cstheme="minorHAnsi"/>
          <w:b/>
          <w:color w:val="000000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981"/>
        <w:gridCol w:w="723"/>
        <w:gridCol w:w="7219"/>
        <w:gridCol w:w="1500"/>
        <w:gridCol w:w="1902"/>
        <w:gridCol w:w="1417"/>
      </w:tblGrid>
      <w:tr w:rsidR="00E570C4" w:rsidRPr="00547382" w14:paraId="680B3DD6" w14:textId="77777777" w:rsidTr="00E570C4">
        <w:trPr>
          <w:trHeight w:val="170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EBBAAF1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99A83C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1D7C09E" w14:textId="1345E590" w:rsidR="00547382" w:rsidRPr="00547382" w:rsidRDefault="00935AB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Rebalans</w:t>
            </w:r>
            <w:r w:rsidR="00547382"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2025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05376E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C2C3C1F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547382" w:rsidRPr="00547382" w14:paraId="251BA273" w14:textId="77777777" w:rsidTr="00E570C4">
        <w:trPr>
          <w:trHeight w:val="170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502D03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DB7FA4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BC8F39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7CF2C9C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EF51A3" w14:textId="77777777" w:rsidR="00547382" w:rsidRPr="00547382" w:rsidRDefault="00547382" w:rsidP="005473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547382" w:rsidRPr="00547382" w14:paraId="050C9952" w14:textId="77777777" w:rsidTr="00E570C4">
        <w:trPr>
          <w:trHeight w:val="170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033CD27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E520D8F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CDF1039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19.582.802,71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47E3C6A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7.022.189,24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9E082F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35,86%</w:t>
            </w:r>
          </w:p>
        </w:tc>
      </w:tr>
      <w:tr w:rsidR="00547382" w:rsidRPr="00547382" w14:paraId="6B1BFAF3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6287A0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F9DEBE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E2DBC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GRADSKO VIJEĆE I URED GRADONAČELNIKA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16BA23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218.650,00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5EF9DD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130.464,07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486313E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59,67%</w:t>
            </w:r>
          </w:p>
        </w:tc>
      </w:tr>
      <w:tr w:rsidR="00547382" w:rsidRPr="00547382" w14:paraId="6ED9A914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3DE8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AA0D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741D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GRADSKO VIJEĆE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49A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99.610,00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C888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73.016,47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ECD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73,30%</w:t>
            </w:r>
          </w:p>
        </w:tc>
      </w:tr>
      <w:tr w:rsidR="00547382" w:rsidRPr="00547382" w14:paraId="64B66D26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4E4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47A0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775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GRADSKO VIJEĆE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9FD0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99.610,00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E7A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73.016,47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932A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73,30%</w:t>
            </w:r>
          </w:p>
        </w:tc>
      </w:tr>
      <w:tr w:rsidR="00547382" w:rsidRPr="00547382" w14:paraId="675B804A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422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2CA9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00102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1C59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4AB8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13C9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06E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48,26%</w:t>
            </w:r>
          </w:p>
        </w:tc>
      </w:tr>
      <w:tr w:rsidR="00547382" w:rsidRPr="00547382" w14:paraId="7012A6EC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95E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FABC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CCE6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5BC9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0BC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CDDE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48,26%</w:t>
            </w:r>
          </w:p>
        </w:tc>
      </w:tr>
      <w:tr w:rsidR="00547382" w:rsidRPr="00547382" w14:paraId="6099BDB5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9A8D72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230FC7F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5362CF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60294C3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11.088.788,28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C11D688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5.339.057,25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35FE32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48,15%</w:t>
            </w:r>
          </w:p>
        </w:tc>
      </w:tr>
      <w:tr w:rsidR="00547382" w:rsidRPr="00547382" w14:paraId="4C8DDEAF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BC99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E604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F648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DEEE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3.365.118,00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21D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1.508.597,98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CC4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44,83%</w:t>
            </w:r>
          </w:p>
        </w:tc>
      </w:tr>
      <w:tr w:rsidR="00547382" w:rsidRPr="00547382" w14:paraId="6587214A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D030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C1DD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00001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220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A80E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3.365.118,00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E83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1.508.597,98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8819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44,83%</w:t>
            </w:r>
          </w:p>
        </w:tc>
      </w:tr>
      <w:tr w:rsidR="00547382" w:rsidRPr="00547382" w14:paraId="43BFE38C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F78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32F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00202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F7CE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VATROGASNE POSTROJBE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72C7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986.936,57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071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520.617,10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220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52,75%</w:t>
            </w:r>
          </w:p>
        </w:tc>
      </w:tr>
      <w:tr w:rsidR="00547382" w:rsidRPr="00547382" w14:paraId="56B5C7B9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4182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F54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34709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E24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JAVNA VATROGASNA POSTROJBA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F28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986.936,57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B6A8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520.617,10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F27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52,75%</w:t>
            </w:r>
          </w:p>
        </w:tc>
      </w:tr>
      <w:tr w:rsidR="00547382" w:rsidRPr="00547382" w14:paraId="1BF46E27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D98E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CBCB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00203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EED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25AB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2.275.113,70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F05B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990.553,91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A7BA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43,54%</w:t>
            </w:r>
          </w:p>
        </w:tc>
      </w:tr>
      <w:tr w:rsidR="00547382" w:rsidRPr="00547382" w14:paraId="336EA106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9102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AE1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34694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F40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DJEČJI VRTIĆ MASLAČAK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E56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2.275.113,70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000C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990.553,91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BA9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43,54%</w:t>
            </w:r>
          </w:p>
        </w:tc>
      </w:tr>
      <w:tr w:rsidR="00547382" w:rsidRPr="00547382" w14:paraId="5AF97B82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342E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89C0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00204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57B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USTANOVE KULTURE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5CC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180.650,00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DD3C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90.773,40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47AC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50,25%</w:t>
            </w:r>
          </w:p>
        </w:tc>
      </w:tr>
      <w:tr w:rsidR="00547382" w:rsidRPr="00547382" w14:paraId="0D533FC3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04F7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504C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34686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41E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HRVATSKA KNJIŽNICA I ČITAONICA "ĐURO SUDETA"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5A5E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180.650,00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900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90.773,40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579F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50,25%</w:t>
            </w:r>
          </w:p>
        </w:tc>
      </w:tr>
      <w:tr w:rsidR="00547382" w:rsidRPr="00547382" w14:paraId="02F2F331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DCE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70B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00205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FEAF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JAVNA USTANOVA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44E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6C9D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90.507,95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AD0F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40,07%</w:t>
            </w:r>
          </w:p>
        </w:tc>
      </w:tr>
      <w:tr w:rsidR="00547382" w:rsidRPr="00547382" w14:paraId="074424B6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510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61A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52581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A07C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JAVNA USTANOVA GAREŠNICA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73D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BAD3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90.507,95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01A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40,07%</w:t>
            </w:r>
          </w:p>
        </w:tc>
      </w:tr>
      <w:tr w:rsidR="00547382" w:rsidRPr="00547382" w14:paraId="073FC187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00B4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E822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00206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4C06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OSNOVNO ŠKOLSTVO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5CB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4.055.098,37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DC5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2.138.006,91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36D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52,72%</w:t>
            </w:r>
          </w:p>
        </w:tc>
      </w:tr>
      <w:tr w:rsidR="00547382" w:rsidRPr="00547382" w14:paraId="26B2E8F2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041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2BCB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08424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D61F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OSNOVNA ŠKOLA GAREŠNICA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591F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3.206.248,21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EFC0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1.712.904,17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6B6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53,42%</w:t>
            </w:r>
          </w:p>
        </w:tc>
      </w:tr>
      <w:tr w:rsidR="00547382" w:rsidRPr="00547382" w14:paraId="1CDDE495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4AEE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5D15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08457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D98C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OSNOVNA ŠKOLA TRNOVITIČKI POPOVAC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D7C7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848.850,16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DA50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425.102,74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13EB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50,08%</w:t>
            </w:r>
          </w:p>
        </w:tc>
      </w:tr>
      <w:tr w:rsidR="00547382" w:rsidRPr="00547382" w14:paraId="26B33A0F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96E32D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295EDEB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D52F89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8D421B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B2DED8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BFD7D0D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40,52%</w:t>
            </w:r>
          </w:p>
        </w:tc>
      </w:tr>
      <w:tr w:rsidR="00547382" w:rsidRPr="00547382" w14:paraId="43D7899B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1F3A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BC6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9394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736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F9B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4C92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40,52%</w:t>
            </w:r>
          </w:p>
        </w:tc>
      </w:tr>
      <w:tr w:rsidR="00547382" w:rsidRPr="00547382" w14:paraId="5BAA5A15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CFDB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E88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00001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CF44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5047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6ED5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E6AE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40,52%</w:t>
            </w:r>
          </w:p>
        </w:tc>
      </w:tr>
      <w:tr w:rsidR="00547382" w:rsidRPr="00547382" w14:paraId="13741262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14EAC4D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234C33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30F1A3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UPRAVNI ODJEL ZA GOSPODARSTVO I KOMUNALNI SUSTAV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9B2D4F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7.942.064,43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A06D3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1.417.619,61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8A588D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17,85%</w:t>
            </w:r>
          </w:p>
        </w:tc>
      </w:tr>
      <w:tr w:rsidR="00547382" w:rsidRPr="00547382" w14:paraId="68A607FB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086D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1ABB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6FAB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 ODJEL ZA GOSPODARSTVO I KOMUNALNI SUSTAV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D726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7.942.064,43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B974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1.417.619,61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5928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17,85%</w:t>
            </w:r>
          </w:p>
        </w:tc>
      </w:tr>
      <w:tr w:rsidR="00E570C4" w:rsidRPr="00547382" w14:paraId="686695FD" w14:textId="77777777" w:rsidTr="00E570C4">
        <w:trPr>
          <w:trHeight w:val="1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EB8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6051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00001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FDB5" w14:textId="77777777" w:rsidR="00547382" w:rsidRPr="00547382" w:rsidRDefault="00547382" w:rsidP="005473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 ODJEL ZA GOSPODARSTVO I KOMUNALNI SUSTAV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F361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7.942.064,43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95ED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1.417.619,61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55BB" w14:textId="77777777" w:rsidR="00547382" w:rsidRPr="00547382" w:rsidRDefault="00547382" w:rsidP="0054738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4738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17,85%</w:t>
            </w:r>
          </w:p>
        </w:tc>
      </w:tr>
    </w:tbl>
    <w:p w14:paraId="29271235" w14:textId="77777777" w:rsidR="00AA3C67" w:rsidRDefault="00AA3C67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3F203197" w14:textId="77777777" w:rsidR="00935AB2" w:rsidRPr="00C1205D" w:rsidRDefault="00935AB2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39843F4" w14:textId="0899923F" w:rsidR="00B21CC2" w:rsidRPr="00C1205D" w:rsidRDefault="003E658E" w:rsidP="003E658E">
      <w:pPr>
        <w:pStyle w:val="Odlomakpopisa"/>
        <w:numPr>
          <w:ilvl w:val="1"/>
          <w:numId w:val="16"/>
        </w:numPr>
        <w:jc w:val="center"/>
        <w:rPr>
          <w:rFonts w:asciiTheme="minorHAnsi" w:hAnsiTheme="minorHAnsi" w:cstheme="minorHAnsi"/>
          <w:b/>
          <w:color w:val="000000"/>
        </w:rPr>
      </w:pPr>
      <w:r w:rsidRPr="00C1205D">
        <w:rPr>
          <w:rFonts w:asciiTheme="minorHAnsi" w:hAnsiTheme="minorHAnsi" w:cstheme="minorHAnsi"/>
          <w:b/>
          <w:color w:val="000000"/>
        </w:rPr>
        <w:t xml:space="preserve"> </w:t>
      </w:r>
      <w:r w:rsidR="00134B6F" w:rsidRPr="00C1205D">
        <w:rPr>
          <w:rFonts w:asciiTheme="minorHAnsi" w:hAnsiTheme="minorHAnsi" w:cstheme="minorHAnsi"/>
          <w:b/>
          <w:color w:val="000000"/>
        </w:rPr>
        <w:t>I</w:t>
      </w:r>
      <w:r w:rsidR="00AA3C67" w:rsidRPr="00C1205D">
        <w:rPr>
          <w:rFonts w:asciiTheme="minorHAnsi" w:hAnsiTheme="minorHAnsi" w:cstheme="minorHAnsi"/>
          <w:b/>
          <w:color w:val="000000"/>
        </w:rPr>
        <w:t>zvršenje po programskoj klasifikaciji</w:t>
      </w:r>
    </w:p>
    <w:p w14:paraId="4D6AD9F8" w14:textId="77777777" w:rsidR="00AA3C67" w:rsidRDefault="00AA3C67" w:rsidP="00AA3C67">
      <w:pPr>
        <w:pStyle w:val="Odlomakpopisa"/>
        <w:ind w:left="360"/>
        <w:rPr>
          <w:rFonts w:asciiTheme="minorHAnsi" w:hAnsiTheme="minorHAnsi" w:cstheme="minorHAnsi"/>
          <w:b/>
          <w:color w:val="000000"/>
        </w:rPr>
      </w:pPr>
    </w:p>
    <w:p w14:paraId="3F83864D" w14:textId="77777777" w:rsidR="001D2B5F" w:rsidRDefault="001D2B5F" w:rsidP="00AA3C67">
      <w:pPr>
        <w:pStyle w:val="Odlomakpopisa"/>
        <w:ind w:left="360"/>
        <w:rPr>
          <w:rFonts w:asciiTheme="minorHAnsi" w:hAnsiTheme="minorHAnsi" w:cstheme="minorHAnsi"/>
          <w:b/>
          <w:color w:val="000000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699"/>
        <w:gridCol w:w="8366"/>
        <w:gridCol w:w="1420"/>
        <w:gridCol w:w="1840"/>
        <w:gridCol w:w="1417"/>
      </w:tblGrid>
      <w:tr w:rsidR="00E570C4" w:rsidRPr="00E570C4" w14:paraId="77DD468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D06D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1253CE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25CDFE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5C600A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570C4" w:rsidRPr="00E570C4" w14:paraId="3867C98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E6D2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7FADA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FF6652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052BA2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570C4" w:rsidRPr="00E570C4" w14:paraId="3781D2E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AA4A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E6EB87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E64C9E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Rebalans 2025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16460B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89E0CD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E570C4" w:rsidRPr="00E570C4" w14:paraId="319C874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854E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18D80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0E3235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A8D266" w14:textId="77777777" w:rsidR="00E570C4" w:rsidRPr="00E570C4" w:rsidRDefault="00E570C4" w:rsidP="00E570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E570C4" w:rsidRPr="00E570C4" w14:paraId="5349365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CFE48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22A2F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19.582.802,71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76C87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7.022.189,24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9A5A8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hr-HR"/>
              </w:rPr>
              <w:t>35,86%</w:t>
            </w:r>
          </w:p>
        </w:tc>
      </w:tr>
      <w:tr w:rsidR="00E570C4" w:rsidRPr="00E570C4" w14:paraId="7351EBD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72D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 001 GRADSKO VIJEĆE I URED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4FFB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218.650,00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71D0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130.464,07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F33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59,67%</w:t>
            </w:r>
          </w:p>
        </w:tc>
      </w:tr>
      <w:tr w:rsidR="00E570C4" w:rsidRPr="00E570C4" w14:paraId="708807A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D2CC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00101 GRADSKO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96E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5BA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73.016,47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0915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73,30%</w:t>
            </w:r>
          </w:p>
        </w:tc>
      </w:tr>
      <w:tr w:rsidR="00E570C4" w:rsidRPr="00E570C4" w14:paraId="55FD1AF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AB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BE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93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32.838,79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FA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55,30%</w:t>
            </w:r>
          </w:p>
        </w:tc>
      </w:tr>
      <w:tr w:rsidR="00E570C4" w:rsidRPr="00E570C4" w14:paraId="34E23C1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6C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ED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59.380,00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AC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32.838,79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F2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55,30%</w:t>
            </w:r>
          </w:p>
        </w:tc>
      </w:tr>
      <w:tr w:rsidR="00E570C4" w:rsidRPr="00E570C4" w14:paraId="070C1D8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6A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99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B3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40.177,68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54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99,87%</w:t>
            </w:r>
          </w:p>
        </w:tc>
      </w:tr>
      <w:tr w:rsidR="00E570C4" w:rsidRPr="00E570C4" w14:paraId="2FBEB55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59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EF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A5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11.421,45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46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99,93%</w:t>
            </w:r>
          </w:p>
        </w:tc>
      </w:tr>
      <w:tr w:rsidR="00E570C4" w:rsidRPr="00E570C4" w14:paraId="0087CE7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95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15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72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98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99,85%</w:t>
            </w:r>
          </w:p>
        </w:tc>
      </w:tr>
      <w:tr w:rsidR="00E570C4" w:rsidRPr="00E570C4" w14:paraId="4AB67C6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0999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01 GRADSKO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5797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6A18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73.016,47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9CD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73,30%</w:t>
            </w:r>
          </w:p>
        </w:tc>
      </w:tr>
      <w:tr w:rsidR="00E570C4" w:rsidRPr="00E570C4" w14:paraId="5E1AD04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95C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87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59.380,00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5B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32.838,79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34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55,30%</w:t>
            </w:r>
          </w:p>
        </w:tc>
      </w:tr>
      <w:tr w:rsidR="00E570C4" w:rsidRPr="00E570C4" w14:paraId="168EDB3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61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40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59.380,00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20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32.838,79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F2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55,30%</w:t>
            </w:r>
          </w:p>
        </w:tc>
      </w:tr>
      <w:tr w:rsidR="00E570C4" w:rsidRPr="00E570C4" w14:paraId="7C6A8D7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433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AA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D3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40.177,68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70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99,87%</w:t>
            </w:r>
          </w:p>
        </w:tc>
      </w:tr>
      <w:tr w:rsidR="00E570C4" w:rsidRPr="00E570C4" w14:paraId="63C82C5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58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44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11.430,00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66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11.421,45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F9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99,93%</w:t>
            </w:r>
          </w:p>
        </w:tc>
      </w:tr>
      <w:tr w:rsidR="00E570C4" w:rsidRPr="00E570C4" w14:paraId="0A555CB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F0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lastRenderedPageBreak/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0D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FB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35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99,85%</w:t>
            </w:r>
          </w:p>
        </w:tc>
      </w:tr>
      <w:tr w:rsidR="00E570C4" w:rsidRPr="00E570C4" w14:paraId="71D055F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D18E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5F1C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DBA4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49C2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5.762,07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AD70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36,01%</w:t>
            </w:r>
          </w:p>
        </w:tc>
      </w:tr>
      <w:tr w:rsidR="00E570C4" w:rsidRPr="00E570C4" w14:paraId="30305C3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E79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ED0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predstavničkog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11A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E0C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5.762,07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ED1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36,01%</w:t>
            </w:r>
          </w:p>
        </w:tc>
      </w:tr>
      <w:tr w:rsidR="00E570C4" w:rsidRPr="00E570C4" w14:paraId="7D8262D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F1B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C3A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5A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5.762,07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F8A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36,01%</w:t>
            </w:r>
          </w:p>
        </w:tc>
      </w:tr>
      <w:tr w:rsidR="00E570C4" w:rsidRPr="00E570C4" w14:paraId="169F530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67F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981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38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5.762,07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699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36,01%</w:t>
            </w:r>
          </w:p>
        </w:tc>
      </w:tr>
      <w:tr w:rsidR="00E570C4" w:rsidRPr="00E570C4" w14:paraId="428D206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FA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5A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D4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1B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5.762,07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D9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36,01%</w:t>
            </w:r>
          </w:p>
        </w:tc>
      </w:tr>
      <w:tr w:rsidR="00E570C4" w:rsidRPr="00E570C4" w14:paraId="6F585AC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5F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EF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11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28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5.762,07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A3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8FABC3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A08C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3C86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Program: Razvoj civilnog društva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F2DE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83.610,00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417E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67.254,40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9F93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80,44%</w:t>
            </w:r>
          </w:p>
        </w:tc>
      </w:tr>
      <w:tr w:rsidR="00E570C4" w:rsidRPr="00E570C4" w14:paraId="679C31C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48B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A100201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661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Osnovne funkcije političkih stranaka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A3C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A0F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E36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74,85%</w:t>
            </w:r>
          </w:p>
        </w:tc>
      </w:tr>
      <w:tr w:rsidR="00E570C4" w:rsidRPr="00E570C4" w14:paraId="34CB8AF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E0A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2FE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656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3.368,47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C6C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74,85%</w:t>
            </w:r>
          </w:p>
        </w:tc>
      </w:tr>
      <w:tr w:rsidR="00E570C4" w:rsidRPr="00E570C4" w14:paraId="3E8C925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035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A7F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9F8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3.368,47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F6F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74,85%</w:t>
            </w:r>
          </w:p>
        </w:tc>
      </w:tr>
      <w:tr w:rsidR="00E570C4" w:rsidRPr="00E570C4" w14:paraId="48C37B6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36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9C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A2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8F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DB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74,85%</w:t>
            </w:r>
          </w:p>
        </w:tc>
      </w:tr>
      <w:tr w:rsidR="00E570C4" w:rsidRPr="00E570C4" w14:paraId="0AFFD7F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1B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D0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9B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E4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3.368,47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F2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36D600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C62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A100202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C6CF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Vijeće srpske nacionalne manjine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D79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881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DF0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E570C4" w:rsidRPr="00E570C4" w14:paraId="0F0A837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8FA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DAF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3AD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652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E570C4" w:rsidRPr="00E570C4" w14:paraId="16053E1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1DF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622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AA8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155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E570C4" w:rsidRPr="00E570C4" w14:paraId="718EE1D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8F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AD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1F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A1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1.918,84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C3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36,83%</w:t>
            </w:r>
          </w:p>
        </w:tc>
      </w:tr>
      <w:tr w:rsidR="00E570C4" w:rsidRPr="00E570C4" w14:paraId="5526E24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E5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A52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8C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62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7C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3F9298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CB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73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B49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4A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174,67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24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591163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12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7F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BB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85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10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DCB9FA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86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62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32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74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1.600,14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B6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2218C0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A1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8D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A8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B7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BC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94,81%</w:t>
            </w:r>
          </w:p>
        </w:tc>
      </w:tr>
      <w:tr w:rsidR="00E570C4" w:rsidRPr="00E570C4" w14:paraId="573C97E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D8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5A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6B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69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54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BA7931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62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CD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28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1E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698,42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B7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465,61%</w:t>
            </w:r>
          </w:p>
        </w:tc>
      </w:tr>
      <w:tr w:rsidR="00E570C4" w:rsidRPr="00E570C4" w14:paraId="47F3C8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CD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30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41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66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698,42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A2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166B8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8ED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A100203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077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Predstavnik češke nacionalne manjine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A9A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418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60D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63,05%</w:t>
            </w:r>
          </w:p>
        </w:tc>
      </w:tr>
      <w:tr w:rsidR="00E570C4" w:rsidRPr="00E570C4" w14:paraId="3186313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8AE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AB3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752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189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63,05%</w:t>
            </w:r>
          </w:p>
        </w:tc>
      </w:tr>
      <w:tr w:rsidR="00E570C4" w:rsidRPr="00E570C4" w14:paraId="764F140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B0B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FDA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656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0AD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63,05%</w:t>
            </w:r>
          </w:p>
        </w:tc>
      </w:tr>
      <w:tr w:rsidR="00E570C4" w:rsidRPr="00E570C4" w14:paraId="3B1FD4C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EA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51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C0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77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B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27,99%</w:t>
            </w:r>
          </w:p>
        </w:tc>
      </w:tr>
      <w:tr w:rsidR="00E570C4" w:rsidRPr="00E570C4" w14:paraId="588B8A1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78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3A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32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25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DD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945A4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68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8F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0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43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22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A73154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BF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13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25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8F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7B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570C4" w:rsidRPr="00E570C4" w14:paraId="210C0E6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37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AC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CA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24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7F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0A2BC9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0C9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A100204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5A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Lokalni izbori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B1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943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32.140,12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9F3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73,16%</w:t>
            </w:r>
          </w:p>
        </w:tc>
      </w:tr>
      <w:tr w:rsidR="00E570C4" w:rsidRPr="00E570C4" w14:paraId="040C3D5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901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C00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9A3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20.718,67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6E2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63,75%</w:t>
            </w:r>
          </w:p>
        </w:tc>
      </w:tr>
      <w:tr w:rsidR="00E570C4" w:rsidRPr="00E570C4" w14:paraId="43BFB9D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906B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3A6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3A8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20.718,67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C35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63,75%</w:t>
            </w:r>
          </w:p>
        </w:tc>
      </w:tr>
      <w:tr w:rsidR="00E570C4" w:rsidRPr="00E570C4" w14:paraId="5BBAE8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4A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03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EC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4C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20.718,67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1F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88,16%</w:t>
            </w:r>
          </w:p>
        </w:tc>
      </w:tr>
      <w:tr w:rsidR="00E570C4" w:rsidRPr="00E570C4" w14:paraId="19A574A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00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D1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E9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64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1.495,70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45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4D81C7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37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02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C6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E7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835,31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CA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22249E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09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7C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F9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DC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18.387,66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88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A1ED52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5D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C2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7F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ED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82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328556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38F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268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F9B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11.421,45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B06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99,93%</w:t>
            </w:r>
          </w:p>
        </w:tc>
      </w:tr>
      <w:tr w:rsidR="00E570C4" w:rsidRPr="00E570C4" w14:paraId="14AC39D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016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E74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D35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11.421,45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E23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99,93%</w:t>
            </w:r>
          </w:p>
        </w:tc>
      </w:tr>
      <w:tr w:rsidR="00E570C4" w:rsidRPr="00E570C4" w14:paraId="53AA124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75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CF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DD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32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11.421,45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D3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99,93%</w:t>
            </w:r>
          </w:p>
        </w:tc>
      </w:tr>
      <w:tr w:rsidR="00E570C4" w:rsidRPr="00E570C4" w14:paraId="0817390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EE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4E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D1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EE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11.421,45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69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91A5E8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433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A100207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3893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Predsjednički izbori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43C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F10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9C4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99,85%</w:t>
            </w:r>
          </w:p>
        </w:tc>
      </w:tr>
      <w:tr w:rsidR="00E570C4" w:rsidRPr="00E570C4" w14:paraId="573C54C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86E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461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8B7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2A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99,85%</w:t>
            </w:r>
          </w:p>
        </w:tc>
      </w:tr>
      <w:tr w:rsidR="00E570C4" w:rsidRPr="00E570C4" w14:paraId="4ED81EF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E08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843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117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616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99,85%</w:t>
            </w:r>
          </w:p>
        </w:tc>
      </w:tr>
      <w:tr w:rsidR="00E570C4" w:rsidRPr="00E570C4" w14:paraId="3CB1258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94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DA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C8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9E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C0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99,85%</w:t>
            </w:r>
          </w:p>
        </w:tc>
      </w:tr>
      <w:tr w:rsidR="00E570C4" w:rsidRPr="00E570C4" w14:paraId="0680BDB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61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86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A5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7A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28.756,23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A6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96CE6D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A2E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A100208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F3B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Savjet mladih Grada Garešnice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E77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AED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767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36E0DC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FC9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7CA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ECC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B67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E315E4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4B1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ADD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9F1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488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3ADC81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34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EF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8D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20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16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A90387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E27D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00102 URED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127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794F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567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48,26%</w:t>
            </w:r>
          </w:p>
        </w:tc>
      </w:tr>
      <w:tr w:rsidR="00E570C4" w:rsidRPr="00E570C4" w14:paraId="3BF34B1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47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39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117.540,00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34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39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E570C4" w:rsidRPr="00E570C4" w14:paraId="714A6DB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7A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8B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117.540,00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57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A6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E570C4" w:rsidRPr="00E570C4" w14:paraId="03A3344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82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85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B8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8A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9C4CE1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6C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09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2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C4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E157B5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23AF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02 URED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856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430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1BE4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48,26%</w:t>
            </w:r>
          </w:p>
        </w:tc>
      </w:tr>
      <w:tr w:rsidR="00E570C4" w:rsidRPr="00E570C4" w14:paraId="063F0A7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76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62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117.540,00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37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25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E570C4" w:rsidRPr="00E570C4" w14:paraId="3E95806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4D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7D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117.540,00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C9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6B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E570C4" w:rsidRPr="00E570C4" w14:paraId="4BAE22C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F1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1A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0D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6C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EB10BE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CB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DC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3E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BC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EF5D67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2252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C660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753C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8BCB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57.447,60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0EB9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48,26%</w:t>
            </w:r>
          </w:p>
        </w:tc>
      </w:tr>
      <w:tr w:rsidR="00E570C4" w:rsidRPr="00E570C4" w14:paraId="4D7E8FB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0C0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A100102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486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ureda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F1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69.630,00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87A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35.300,28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352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50,70%</w:t>
            </w:r>
          </w:p>
        </w:tc>
      </w:tr>
      <w:tr w:rsidR="00E570C4" w:rsidRPr="00E570C4" w14:paraId="699A681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D4B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6D6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69.630,00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F11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35.300,28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0A1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50,70%</w:t>
            </w:r>
          </w:p>
        </w:tc>
      </w:tr>
      <w:tr w:rsidR="00E570C4" w:rsidRPr="00E570C4" w14:paraId="58559F0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7F9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AA1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69.630,00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822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35.300,28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0B9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50,70%</w:t>
            </w:r>
          </w:p>
        </w:tc>
      </w:tr>
      <w:tr w:rsidR="00E570C4" w:rsidRPr="00E570C4" w14:paraId="0D7800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A3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2A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2B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94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32.623,94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86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49,88%</w:t>
            </w:r>
          </w:p>
        </w:tc>
      </w:tr>
      <w:tr w:rsidR="00E570C4" w:rsidRPr="00E570C4" w14:paraId="737EB21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16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21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36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A9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28.003,38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E8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5D6014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68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A2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B2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05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4.620,56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63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132A09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D2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3E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B4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1F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2.676,34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1C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63,27%</w:t>
            </w:r>
          </w:p>
        </w:tc>
      </w:tr>
      <w:tr w:rsidR="00E570C4" w:rsidRPr="00E570C4" w14:paraId="57D65AC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40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EB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79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AE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44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69552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6A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93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7C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5F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2.333,14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2F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3A95C0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0D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A100103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76B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D5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742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001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EC151F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BF1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E33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F8F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2A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E5E91F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1CC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66D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5FB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26B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076D4B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23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ED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8A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CD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A6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B8680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AA7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A100104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715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Obilježavanje dana Grada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DAE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A47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17.006,35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2C5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81,72%</w:t>
            </w:r>
          </w:p>
        </w:tc>
      </w:tr>
      <w:tr w:rsidR="00E570C4" w:rsidRPr="00E570C4" w14:paraId="08304FA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C9A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980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15B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17.006,35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0C2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81,72%</w:t>
            </w:r>
          </w:p>
        </w:tc>
      </w:tr>
      <w:tr w:rsidR="00E570C4" w:rsidRPr="00E570C4" w14:paraId="4C74DF9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D5E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056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7D0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17.006,35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ED1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81,72%</w:t>
            </w:r>
          </w:p>
        </w:tc>
      </w:tr>
      <w:tr w:rsidR="00E570C4" w:rsidRPr="00E570C4" w14:paraId="216BDE8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F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91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4F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C6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17.006,35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07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81,72%</w:t>
            </w:r>
          </w:p>
        </w:tc>
      </w:tr>
      <w:tr w:rsidR="00E570C4" w:rsidRPr="00E570C4" w14:paraId="21B6519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EF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81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75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9A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1.928,85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5A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1DA51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046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7D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B2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54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14.577,50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F7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E3CF98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93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B0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8E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F5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26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5A241B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CDE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A100105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FDB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Obilježavanje prigodnih datuma, obljetnica, događanja i sl.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3BE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C8E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5.140,97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BFE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20,90%</w:t>
            </w:r>
          </w:p>
        </w:tc>
      </w:tr>
      <w:tr w:rsidR="00E570C4" w:rsidRPr="00E570C4" w14:paraId="72DD32C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0B7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EC4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2EB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5.140,97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469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22,26%</w:t>
            </w:r>
          </w:p>
        </w:tc>
      </w:tr>
      <w:tr w:rsidR="00E570C4" w:rsidRPr="00E570C4" w14:paraId="1A5657E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278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2CF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196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5.140,97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BFB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22,26%</w:t>
            </w:r>
          </w:p>
        </w:tc>
      </w:tr>
      <w:tr w:rsidR="00E570C4" w:rsidRPr="00E570C4" w14:paraId="4A9544A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193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A3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13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1A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5.140,97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06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22,26%</w:t>
            </w:r>
          </w:p>
        </w:tc>
      </w:tr>
      <w:tr w:rsidR="00E570C4" w:rsidRPr="00E570C4" w14:paraId="67DD349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EA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16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C3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35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2.209,32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0B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F84F48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2A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24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D1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9C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2.438,85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76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02D88C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48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0A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48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D7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90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E066E4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44E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D83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876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C18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1D2A13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297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A13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1D9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E9C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D92043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AA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69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C8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97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89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EBD353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B89F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 002 UPRAVNI ODJEL ZA DRUŠTVENE DJELATNOSTI, IMOVINU I OPĆE POSLOVE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CC6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11.088.788,28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928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5.339.057,25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06C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48,15%</w:t>
            </w:r>
          </w:p>
        </w:tc>
      </w:tr>
      <w:tr w:rsidR="00E570C4" w:rsidRPr="00E570C4" w14:paraId="14973B3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E5A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00201 UPRAVNI ODJEL ZA DRUŠTVENE DJELATNOSTI, IMOVINU I OPĆE POSLOVE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EB8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3.365.118,00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541A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1.508.597,98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85F8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44,83%</w:t>
            </w:r>
          </w:p>
        </w:tc>
      </w:tr>
      <w:tr w:rsidR="00E570C4" w:rsidRPr="00E570C4" w14:paraId="4ADCB2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B4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83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1.296.587,00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8A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783.421,26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E4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60,42%</w:t>
            </w:r>
          </w:p>
        </w:tc>
      </w:tr>
      <w:tr w:rsidR="00E570C4" w:rsidRPr="00E570C4" w14:paraId="2357414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D9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60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1.296.587,00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9D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783.421,26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40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60,42%</w:t>
            </w:r>
          </w:p>
        </w:tc>
      </w:tr>
      <w:tr w:rsidR="00E570C4" w:rsidRPr="00E570C4" w14:paraId="4AB0E32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86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2F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4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05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3A57848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3C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E1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6C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0D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7C56C20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03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80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1.360.531,00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02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671.575,74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B9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49,36%</w:t>
            </w:r>
          </w:p>
        </w:tc>
      </w:tr>
      <w:tr w:rsidR="00E570C4" w:rsidRPr="00E570C4" w14:paraId="6469757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97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3B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537.931,00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90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142.175,28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B8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26,43%</w:t>
            </w:r>
          </w:p>
        </w:tc>
      </w:tr>
      <w:tr w:rsidR="00E570C4" w:rsidRPr="00E570C4" w14:paraId="72EB122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9D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B7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7D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5.480,70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A3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38,33%</w:t>
            </w:r>
          </w:p>
        </w:tc>
      </w:tr>
      <w:tr w:rsidR="00E570C4" w:rsidRPr="00E570C4" w14:paraId="42C543F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41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3B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808.300,00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A0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523.919,76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94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64,82%</w:t>
            </w:r>
          </w:p>
        </w:tc>
      </w:tr>
      <w:tr w:rsidR="00E570C4" w:rsidRPr="00E570C4" w14:paraId="245988F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63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44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08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33.131,58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52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33,13%</w:t>
            </w:r>
          </w:p>
        </w:tc>
      </w:tr>
      <w:tr w:rsidR="00E570C4" w:rsidRPr="00E570C4" w14:paraId="31033C9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6E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7C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4A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33.131,58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97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33,13%</w:t>
            </w:r>
          </w:p>
        </w:tc>
      </w:tr>
      <w:tr w:rsidR="00E570C4" w:rsidRPr="00E570C4" w14:paraId="3C8DE36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D9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C8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CD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35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22C1C8E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55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EE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BB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8A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6CEC9F1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AD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1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582.000,00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60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9A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8C30B6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AD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52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582.000,00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AC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86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2B7296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9918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00001 UPRAVNI ODJEL ZA DRUŠTVENE DJELATNOSTI, IMOVINU I OPĆE POSLOVE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D2F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3.365.118,00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F97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1.508.597,98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F34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44,83%</w:t>
            </w:r>
          </w:p>
        </w:tc>
      </w:tr>
      <w:tr w:rsidR="00E570C4" w:rsidRPr="00E570C4" w14:paraId="0C93007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25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55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1.296.587,00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91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783.421,26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95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60,42%</w:t>
            </w:r>
          </w:p>
        </w:tc>
      </w:tr>
      <w:tr w:rsidR="00E570C4" w:rsidRPr="00E570C4" w14:paraId="00F9FD6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D8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4A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1.296.587,00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29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783.421,26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91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60,42%</w:t>
            </w:r>
          </w:p>
        </w:tc>
      </w:tr>
      <w:tr w:rsidR="00E570C4" w:rsidRPr="00E570C4" w14:paraId="47AFA24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2B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85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82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B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040B06E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DE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8A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54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0F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43A19F7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03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CD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1.360.531,00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93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671.575,74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20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49,36%</w:t>
            </w:r>
          </w:p>
        </w:tc>
      </w:tr>
      <w:tr w:rsidR="00E570C4" w:rsidRPr="00E570C4" w14:paraId="71E49A2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87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lastRenderedPageBreak/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49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537.931,00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DF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142.175,28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7F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26,43%</w:t>
            </w:r>
          </w:p>
        </w:tc>
      </w:tr>
      <w:tr w:rsidR="00E570C4" w:rsidRPr="00E570C4" w14:paraId="56F92EE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01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F8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AC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5.480,70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74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38,33%</w:t>
            </w:r>
          </w:p>
        </w:tc>
      </w:tr>
      <w:tr w:rsidR="00E570C4" w:rsidRPr="00E570C4" w14:paraId="085BC73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96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41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808.300,00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D0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523.919,76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17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64,82%</w:t>
            </w:r>
          </w:p>
        </w:tc>
      </w:tr>
      <w:tr w:rsidR="00E570C4" w:rsidRPr="00E570C4" w14:paraId="3ED2DA6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5E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E5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35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33.131,58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D9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33,13%</w:t>
            </w:r>
          </w:p>
        </w:tc>
      </w:tr>
      <w:tr w:rsidR="00E570C4" w:rsidRPr="00E570C4" w14:paraId="3AAEFF8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78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89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18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33.131,58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5B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33,13%</w:t>
            </w:r>
          </w:p>
        </w:tc>
      </w:tr>
      <w:tr w:rsidR="00E570C4" w:rsidRPr="00E570C4" w14:paraId="635F375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B1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55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46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02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30299B8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FD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D0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4A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63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616A178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13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12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582.000,00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83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B4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BC0E60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2C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57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582.000,00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BC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13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2B2BFF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4480B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0AC9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Priprema i donošenje akata iz djelokruga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EE23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434.402,00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D03E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228.061,52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EBE4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52,50%</w:t>
            </w:r>
          </w:p>
        </w:tc>
      </w:tr>
      <w:tr w:rsidR="00E570C4" w:rsidRPr="00E570C4" w14:paraId="7BB5198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C0F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A100301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C4D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upravnog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67F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395.402,00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6DE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198.840,64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545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50,29%</w:t>
            </w:r>
          </w:p>
        </w:tc>
      </w:tr>
      <w:tr w:rsidR="00E570C4" w:rsidRPr="00E570C4" w14:paraId="17E0CED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0DB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65C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395.402,00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CD8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198.840,64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9F1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50,29%</w:t>
            </w:r>
          </w:p>
        </w:tc>
      </w:tr>
      <w:tr w:rsidR="00E570C4" w:rsidRPr="00E570C4" w14:paraId="3ECBDF9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C6F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CB7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395.402,00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51C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198.840,64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CB0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50,29%</w:t>
            </w:r>
          </w:p>
        </w:tc>
      </w:tr>
      <w:tr w:rsidR="00E570C4" w:rsidRPr="00E570C4" w14:paraId="5864012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A0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A5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C6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49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113.985,43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63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51,72%</w:t>
            </w:r>
          </w:p>
        </w:tc>
      </w:tr>
      <w:tr w:rsidR="00E570C4" w:rsidRPr="00E570C4" w14:paraId="563C40D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A6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0C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5A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F0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73.963,26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C2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68A2F5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57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3E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F8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E9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29.868,13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57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8390B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C4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5B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F3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9D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10.154,04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06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D612E7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D4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94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D2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172.902,00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C8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84.855,21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F5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49,08%</w:t>
            </w:r>
          </w:p>
        </w:tc>
      </w:tr>
      <w:tr w:rsidR="00E570C4" w:rsidRPr="00E570C4" w14:paraId="4C2BFAA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90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E4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A4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E4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21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7D2256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2F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B8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B7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36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1.727,93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FC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3099E0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C9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93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1E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7D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830,13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E6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40C64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B2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67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9C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88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10.125,80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BB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5CCC9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5F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8B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22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06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1.184,71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1E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8DBBA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12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9F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1C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78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11.428,14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F9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766857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AF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63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F9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45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36.036,02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19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F0E265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59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8A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A0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00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6.091,55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D6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1A5899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27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08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DB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F1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5.941,96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B3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224944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2F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17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C1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78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1.799,21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7D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C0557D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6E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21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E3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98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2.293,07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D6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943514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0C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EC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74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AF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4.017,34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B6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C84C43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51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68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89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77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3.014,92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A6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552F9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66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E0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2E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23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CC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5A5E97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D3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A5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A2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B0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4E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F9080C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5D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58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8D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19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18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412F03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851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3BF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Kupnja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38E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669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29.220,88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EAB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76,90%</w:t>
            </w:r>
          </w:p>
        </w:tc>
      </w:tr>
      <w:tr w:rsidR="00E570C4" w:rsidRPr="00E570C4" w14:paraId="16B297C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5F5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143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191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14.220,88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CA3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71,10%</w:t>
            </w:r>
          </w:p>
        </w:tc>
      </w:tr>
      <w:tr w:rsidR="00E570C4" w:rsidRPr="00E570C4" w14:paraId="1B6B5BB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53A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719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96E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14.220,88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590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71,10%</w:t>
            </w:r>
          </w:p>
        </w:tc>
      </w:tr>
      <w:tr w:rsidR="00E570C4" w:rsidRPr="00E570C4" w14:paraId="29BA10C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30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7C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16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FC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14.220,88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3A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71,10%</w:t>
            </w:r>
          </w:p>
        </w:tc>
      </w:tr>
      <w:tr w:rsidR="00E570C4" w:rsidRPr="00E570C4" w14:paraId="254461D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12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12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48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FF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14.220,88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CA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F27CBE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AFD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45E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FBA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0DE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0EBC372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6EE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205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22D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16E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4283B77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6F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FB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76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21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26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83,33%</w:t>
            </w:r>
          </w:p>
        </w:tc>
      </w:tr>
      <w:tr w:rsidR="00E570C4" w:rsidRPr="00E570C4" w14:paraId="63B1A63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BE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F8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21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2B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55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06D3C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362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426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Digitalizacija sustava javne uprave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B61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945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9FD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E615BF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68C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8C7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860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7E1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C80DB0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DE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C4D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C4C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238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FB246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D6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B5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17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57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D6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95C4D6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3B3F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EEEE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Zaštita od požara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51CB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FBA4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94.516,88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E034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91,76%</w:t>
            </w:r>
          </w:p>
        </w:tc>
      </w:tr>
      <w:tr w:rsidR="00E570C4" w:rsidRPr="00E570C4" w14:paraId="0CCB22B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3583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A100502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D0F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Financiranje Vatrogasne zajednice grada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5E3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467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61F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2B8562F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0B1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6A3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C14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FB0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80B7D2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1C7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1BD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97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DB5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232ABE2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F4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EA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29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34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DC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23B582E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CB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9A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06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0D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E6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F21A1B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CD8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A100503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5B4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Civilna zaštita i spašavanje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FC2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D21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16A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34,75%</w:t>
            </w:r>
          </w:p>
        </w:tc>
      </w:tr>
      <w:tr w:rsidR="00E570C4" w:rsidRPr="00E570C4" w14:paraId="2EA71C4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663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A5D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9A0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68E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34,75%</w:t>
            </w:r>
          </w:p>
        </w:tc>
      </w:tr>
      <w:tr w:rsidR="00E570C4" w:rsidRPr="00E570C4" w14:paraId="598EAD1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54B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605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908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4.516,88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AC2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34,75%</w:t>
            </w:r>
          </w:p>
        </w:tc>
      </w:tr>
      <w:tr w:rsidR="00E570C4" w:rsidRPr="00E570C4" w14:paraId="0E0AAC9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46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C7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26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C0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01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5F5F52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0F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EC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B2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6A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1.816,88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13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60,56%</w:t>
            </w:r>
          </w:p>
        </w:tc>
      </w:tr>
      <w:tr w:rsidR="00E570C4" w:rsidRPr="00E570C4" w14:paraId="3456081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C1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2B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pomoći drugom proračunu i izvanproračunskim korisnicima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E3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A2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1.816,88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AB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E8F5BB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EC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36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81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22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8D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56,25%</w:t>
            </w:r>
          </w:p>
        </w:tc>
      </w:tr>
      <w:tr w:rsidR="00E570C4" w:rsidRPr="00E570C4" w14:paraId="4F76F52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BC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84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9B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97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5E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7ECD9B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A7C1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B8CC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Javne potrebe u kulturi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82D2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C811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6676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88,13%</w:t>
            </w:r>
          </w:p>
        </w:tc>
      </w:tr>
      <w:tr w:rsidR="00E570C4" w:rsidRPr="00E570C4" w14:paraId="771CD83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8C1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A100604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085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Poticanje kulturno-umjetničkog amaterizma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42D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0E0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00F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89,92%</w:t>
            </w:r>
          </w:p>
        </w:tc>
      </w:tr>
      <w:tr w:rsidR="00E570C4" w:rsidRPr="00E570C4" w14:paraId="19F96E4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99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325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1D5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74B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89,92%</w:t>
            </w:r>
          </w:p>
        </w:tc>
      </w:tr>
      <w:tr w:rsidR="00E570C4" w:rsidRPr="00E570C4" w14:paraId="6F6BB3B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966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B7B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69A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4FF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89,92%</w:t>
            </w:r>
          </w:p>
        </w:tc>
      </w:tr>
      <w:tr w:rsidR="00E570C4" w:rsidRPr="00E570C4" w14:paraId="31272A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54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48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8D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AB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D1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89,92%</w:t>
            </w:r>
          </w:p>
        </w:tc>
      </w:tr>
      <w:tr w:rsidR="00E570C4" w:rsidRPr="00E570C4" w14:paraId="11126E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C6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C5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AD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BF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AF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C08044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C49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A100605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3A2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Poticanje održavanja manifestacija u kulturi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DD8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586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FE4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86,00%</w:t>
            </w:r>
          </w:p>
        </w:tc>
      </w:tr>
      <w:tr w:rsidR="00E570C4" w:rsidRPr="00E570C4" w14:paraId="0C21882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8DF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E84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66D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3F3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86,00%</w:t>
            </w:r>
          </w:p>
        </w:tc>
      </w:tr>
      <w:tr w:rsidR="00E570C4" w:rsidRPr="00E570C4" w14:paraId="5FA8D18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06C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59C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A3A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2A7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86,00%</w:t>
            </w:r>
          </w:p>
        </w:tc>
      </w:tr>
      <w:tr w:rsidR="00E570C4" w:rsidRPr="00E570C4" w14:paraId="0C92F48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BD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63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BF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EA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B9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86,00%</w:t>
            </w:r>
          </w:p>
        </w:tc>
      </w:tr>
      <w:tr w:rsidR="00E570C4" w:rsidRPr="00E570C4" w14:paraId="53D373D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05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7C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F9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A3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81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CFEE5E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0FC5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0BAF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Javne potrebe u tehničkoj kulturi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6159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C292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7C84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9B9A1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631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A100701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039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Djelatnost zajednice tehničke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B6C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A95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22D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9B256F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92D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339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F1F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793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7D5CAE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E3A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205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114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F5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80894B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1C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86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3B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A0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85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98BC7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F5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79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30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82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FB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5BCDF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7BBA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1008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B4ED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03E2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20CB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138.910,70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30D4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49,88%</w:t>
            </w:r>
          </w:p>
        </w:tc>
      </w:tr>
      <w:tr w:rsidR="00E570C4" w:rsidRPr="00E570C4" w14:paraId="4279DA3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A0D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A100801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4D4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Djelatnost sportske zajednice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F79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69C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359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899E87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5D6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13C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FF1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1C9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1B9C90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8E7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960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799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6C9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911453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9A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0C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EB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78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1C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0D79F92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3D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D4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8A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D3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A0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CFEE80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808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A100803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87E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Nagrade sportašima za postignute rezultate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CE4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5BB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6B6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B70E4C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838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F25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592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34F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C52DB8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4D2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B95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3CE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B61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2D5151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24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09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38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5A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4F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30E266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5B1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K100801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0C9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Uređenje Sportskog parka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62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870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63F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7CEBEB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50E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C86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18E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204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790D1E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7B5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CC1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93D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987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B83A92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570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76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2B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A2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7F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6D0D14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C32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C23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2EA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704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F1B6B2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8DC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150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A24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4FF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024D3C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8C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6C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27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10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CF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7D026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E50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K100802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A5B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Nogometna igrališta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38A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303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18.910,70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314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23,64%</w:t>
            </w:r>
          </w:p>
        </w:tc>
      </w:tr>
      <w:tr w:rsidR="00E570C4" w:rsidRPr="00E570C4" w14:paraId="3120030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814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A11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00D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18.910,70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EA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23,64%</w:t>
            </w:r>
          </w:p>
        </w:tc>
      </w:tr>
      <w:tr w:rsidR="00E570C4" w:rsidRPr="00E570C4" w14:paraId="1CEF1EA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17F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4C8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F66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18.910,70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67F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23,64%</w:t>
            </w:r>
          </w:p>
        </w:tc>
      </w:tr>
      <w:tr w:rsidR="00E570C4" w:rsidRPr="00E570C4" w14:paraId="3752B8D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87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DE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FD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2E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18.910,70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55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23,64%</w:t>
            </w:r>
          </w:p>
        </w:tc>
      </w:tr>
      <w:tr w:rsidR="00E570C4" w:rsidRPr="00E570C4" w14:paraId="3CF05C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41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DD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0B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55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18.910,70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49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17A1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23D4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9816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Javne potrebe u zdravstvu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B4AC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4CCC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7.509,47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55FE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51,08%</w:t>
            </w:r>
          </w:p>
        </w:tc>
      </w:tr>
      <w:tr w:rsidR="00E570C4" w:rsidRPr="00E570C4" w14:paraId="3501E88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D06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A101302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0F3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Pomoć domovima zdravlja BBŽ - Ispostava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6F9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E70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737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ED0FD1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397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39C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CD6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860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987F12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A62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E83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795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8AE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BC7C4F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36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C2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94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C7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2B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64AFE2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AF4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A101303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16B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Stipendije za deficitarna zanimanja - liječnici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40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58F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F4D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9B300B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553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F57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9DE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5BC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B7654C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F72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B1D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347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308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19C9C5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27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CE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AE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8A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0C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4AD733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603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A101304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60B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Financiranje smještaja za liječnika opće medicine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08A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F2A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3.030,30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305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56F87AE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AE9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0C4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403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3.030,30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666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7FAB4F4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091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6CF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098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3.030,30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E39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03DA7FC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05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78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21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0F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3.030,30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A5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653D04A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DF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E6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D9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88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3.030,30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93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E716A5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90B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A101305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1B5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Jednokratna nagrada liječnicima u prvoj godini rada na području Grada Garešnice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BBC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570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4.479,17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BE9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89,58%</w:t>
            </w:r>
          </w:p>
        </w:tc>
      </w:tr>
      <w:tr w:rsidR="00E570C4" w:rsidRPr="00E570C4" w14:paraId="61E73DE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A79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1FC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DB7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4.479,17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B90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89,58%</w:t>
            </w:r>
          </w:p>
        </w:tc>
      </w:tr>
      <w:tr w:rsidR="00E570C4" w:rsidRPr="00E570C4" w14:paraId="5880B3C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FD9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548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A19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4.479,17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E2D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89,58%</w:t>
            </w:r>
          </w:p>
        </w:tc>
      </w:tr>
      <w:tr w:rsidR="00E570C4" w:rsidRPr="00E570C4" w14:paraId="1606F89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31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77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46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31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4.479,17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8B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89,58%</w:t>
            </w:r>
          </w:p>
        </w:tc>
      </w:tr>
      <w:tr w:rsidR="00E570C4" w:rsidRPr="00E570C4" w14:paraId="27E0A75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8B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1B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95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A9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4.479,17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12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2AEFE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817C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8362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Poticanje razvoja turizma i zajednice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749B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8696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51DA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96,81%</w:t>
            </w:r>
          </w:p>
        </w:tc>
      </w:tr>
      <w:tr w:rsidR="00E570C4" w:rsidRPr="00E570C4" w14:paraId="4232450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2FD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A101401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0D1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Redovna djelatnost Turističke zajednice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10F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B06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210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96,81%</w:t>
            </w:r>
          </w:p>
        </w:tc>
      </w:tr>
      <w:tr w:rsidR="00E570C4" w:rsidRPr="00E570C4" w14:paraId="3B5B0F1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DE6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A93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AD9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CFD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96,81%</w:t>
            </w:r>
          </w:p>
        </w:tc>
      </w:tr>
      <w:tr w:rsidR="00E570C4" w:rsidRPr="00E570C4" w14:paraId="0FD2BB2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E93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39D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042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A01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96,81%</w:t>
            </w:r>
          </w:p>
        </w:tc>
      </w:tr>
      <w:tr w:rsidR="00E570C4" w:rsidRPr="00E570C4" w14:paraId="06232BC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D5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3A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D6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AA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4F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96,81%</w:t>
            </w:r>
          </w:p>
        </w:tc>
      </w:tr>
      <w:tr w:rsidR="00E570C4" w:rsidRPr="00E570C4" w14:paraId="5A0C87A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3E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BF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7F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60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9F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B4132D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BCC3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B310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859F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1.361.571,00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4FA9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317.690,68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4D7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23,33%</w:t>
            </w:r>
          </w:p>
        </w:tc>
      </w:tr>
      <w:tr w:rsidR="00E570C4" w:rsidRPr="00E570C4" w14:paraId="79161A4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896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K101601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848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Opremanje javne ustanove  - Dječji vrtić Maslačak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BB6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92.571,00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6FB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15C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3252BF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BFC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5BA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A11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796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897E2C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4E5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B6A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015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FDE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8B9AF4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14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6A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7C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10.711,00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D9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0E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4591BA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753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55B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A7C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64B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59592F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5A7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1A7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554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6F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EA1D7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F1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AC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FF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81.860,00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1C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AD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90DA34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69A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K101605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C6B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Dogradnja dječjeg vrtića "Maslačak"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1C5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1.269.000,00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3EB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317.690,68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0CB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25,03%</w:t>
            </w:r>
          </w:p>
        </w:tc>
      </w:tr>
      <w:tr w:rsidR="00E570C4" w:rsidRPr="00E570C4" w14:paraId="47C659A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DF0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E94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58A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317.690,68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235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46,24%</w:t>
            </w:r>
          </w:p>
        </w:tc>
      </w:tr>
      <w:tr w:rsidR="00E570C4" w:rsidRPr="00E570C4" w14:paraId="7B43E60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947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2C8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912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5C3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DAC9A3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B0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37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42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28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FE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162842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60B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251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487.000,00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2BC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317.690,68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5E0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65,23%</w:t>
            </w:r>
          </w:p>
        </w:tc>
      </w:tr>
      <w:tr w:rsidR="00E570C4" w:rsidRPr="00E570C4" w14:paraId="7F6BEA3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41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C0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2E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1D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317.690,68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AC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65,23%</w:t>
            </w:r>
          </w:p>
        </w:tc>
      </w:tr>
      <w:tr w:rsidR="00E570C4" w:rsidRPr="00E570C4" w14:paraId="6A004AC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89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DE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6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C3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317.690,68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57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2D7AB9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0D6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59D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582.000,00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8C5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070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8A7E80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DE3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0CE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582.000,00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A05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41E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FF904C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B8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82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15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34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1A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7522E2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3D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5E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65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F9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19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24114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C0D9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701B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Poticajne mjere demografske obnove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E99B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1132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D923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25,95%</w:t>
            </w:r>
          </w:p>
        </w:tc>
      </w:tr>
      <w:tr w:rsidR="00E570C4" w:rsidRPr="00E570C4" w14:paraId="30B0634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57B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A101701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F1A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764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0F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A0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28,77%</w:t>
            </w:r>
          </w:p>
        </w:tc>
      </w:tr>
      <w:tr w:rsidR="00E570C4" w:rsidRPr="00E570C4" w14:paraId="566E2B6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CDF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65D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3A9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E10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28,77%</w:t>
            </w:r>
          </w:p>
        </w:tc>
      </w:tr>
      <w:tr w:rsidR="00E570C4" w:rsidRPr="00E570C4" w14:paraId="7AB9A90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36D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BF0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32B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EB9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28,77%</w:t>
            </w:r>
          </w:p>
        </w:tc>
      </w:tr>
      <w:tr w:rsidR="00E570C4" w:rsidRPr="00E570C4" w14:paraId="287D281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A7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9A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69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13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E8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28,77%</w:t>
            </w:r>
          </w:p>
        </w:tc>
      </w:tr>
      <w:tr w:rsidR="00E570C4" w:rsidRPr="00E570C4" w14:paraId="52FE09E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E0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C4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B6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A6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25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BAD06A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EDE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A101702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E36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Pomoć mladim obiteljima kod rješavanja stambenih pitanja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C76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835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88D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25,00%</w:t>
            </w:r>
          </w:p>
        </w:tc>
      </w:tr>
      <w:tr w:rsidR="00E570C4" w:rsidRPr="00E570C4" w14:paraId="1BE8888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4962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209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716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3EA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25,00%</w:t>
            </w:r>
          </w:p>
        </w:tc>
      </w:tr>
      <w:tr w:rsidR="00E570C4" w:rsidRPr="00E570C4" w14:paraId="4792AD7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B45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041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C69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C2B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25,00%</w:t>
            </w:r>
          </w:p>
        </w:tc>
      </w:tr>
      <w:tr w:rsidR="00E570C4" w:rsidRPr="00E570C4" w14:paraId="332A2B0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3A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386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20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96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E5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25,00%</w:t>
            </w:r>
          </w:p>
        </w:tc>
      </w:tr>
      <w:tr w:rsidR="00E570C4" w:rsidRPr="00E570C4" w14:paraId="6C96B30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61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89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EE9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70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AA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0D3FE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FD5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A101703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909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Pomoć mladim obiteljima oslobođenjem od plaćanja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FC6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AC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5E2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C4EAB4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CCF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931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A4A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DE0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F229BD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D26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871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D59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1E9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E92EE8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36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BF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BB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FC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9B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5C9BAA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D6C7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B16F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0578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109.430,00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E37A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41.838,18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EEE4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38,23%</w:t>
            </w:r>
          </w:p>
        </w:tc>
      </w:tr>
      <w:tr w:rsidR="00E570C4" w:rsidRPr="00E570C4" w14:paraId="37E984F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AF8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3EF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Stipendije i školarine prema socijalnom programu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F41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223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0D6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57,25%</w:t>
            </w:r>
          </w:p>
        </w:tc>
      </w:tr>
      <w:tr w:rsidR="00E570C4" w:rsidRPr="00E570C4" w14:paraId="76D5DFF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DEB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94D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0C8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8A4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57,25%</w:t>
            </w:r>
          </w:p>
        </w:tc>
      </w:tr>
      <w:tr w:rsidR="00E570C4" w:rsidRPr="00E570C4" w14:paraId="4EBA283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E0D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F84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B8B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5B2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57,25%</w:t>
            </w:r>
          </w:p>
        </w:tc>
      </w:tr>
      <w:tr w:rsidR="00E570C4" w:rsidRPr="00E570C4" w14:paraId="66069CB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41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76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DF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DF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16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57,25%</w:t>
            </w:r>
          </w:p>
        </w:tc>
      </w:tr>
      <w:tr w:rsidR="00E570C4" w:rsidRPr="00E570C4" w14:paraId="5C523AB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90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6D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CB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1F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C7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6E5BC1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409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FE2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Pomoć u novcu socijalno ugroženim obiteljima koji nisu korisnici ZMN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79D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763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10.745,38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9D6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23,62%</w:t>
            </w:r>
          </w:p>
        </w:tc>
      </w:tr>
      <w:tr w:rsidR="00E570C4" w:rsidRPr="00E570C4" w14:paraId="1D84E0F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EB4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9DC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2F2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10.745,38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C26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23,62%</w:t>
            </w:r>
          </w:p>
        </w:tc>
      </w:tr>
      <w:tr w:rsidR="00E570C4" w:rsidRPr="00E570C4" w14:paraId="3490EAB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731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44F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491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10.745,38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CF0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23,62%</w:t>
            </w:r>
          </w:p>
        </w:tc>
      </w:tr>
      <w:tr w:rsidR="00E570C4" w:rsidRPr="00E570C4" w14:paraId="1CD63D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AA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53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95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8A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10.745,38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47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23,62%</w:t>
            </w:r>
          </w:p>
        </w:tc>
      </w:tr>
      <w:tr w:rsidR="00E570C4" w:rsidRPr="00E570C4" w14:paraId="31F9760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53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9D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19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A3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10.745,38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93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B4A8D2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225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3CE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Pomoć za podmirenje troškova stanovanja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3AE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4C7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65E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49,72%</w:t>
            </w:r>
          </w:p>
        </w:tc>
      </w:tr>
      <w:tr w:rsidR="00E570C4" w:rsidRPr="00E570C4" w14:paraId="43DFF6E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4D0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525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B7C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405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8DFD89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64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6A8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36F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D4D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BA626B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EC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0D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8D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72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74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BFAA4F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8D5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411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7E0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53D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1DBFED9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8BD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983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C4E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2EE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6789258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42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17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F0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17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38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68,37%</w:t>
            </w:r>
          </w:p>
        </w:tc>
      </w:tr>
      <w:tr w:rsidR="00E570C4" w:rsidRPr="00E570C4" w14:paraId="70B6934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3C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1E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0D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3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5.469,40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F8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77815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C65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CA8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Naknada za troškove osnovnoškolskog obrazovanja za učenike s teškoćama u razvoju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33E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8B9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F6F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55,13%</w:t>
            </w:r>
          </w:p>
        </w:tc>
      </w:tr>
      <w:tr w:rsidR="00E570C4" w:rsidRPr="00E570C4" w14:paraId="093DBDD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8B5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594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48C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2EA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55,13%</w:t>
            </w:r>
          </w:p>
        </w:tc>
      </w:tr>
      <w:tr w:rsidR="00E570C4" w:rsidRPr="00E570C4" w14:paraId="235D4F9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811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28C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65A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F47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55,13%</w:t>
            </w:r>
          </w:p>
        </w:tc>
      </w:tr>
      <w:tr w:rsidR="00E570C4" w:rsidRPr="00E570C4" w14:paraId="09473A3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90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0C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41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0B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91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55,13%</w:t>
            </w:r>
          </w:p>
        </w:tc>
      </w:tr>
      <w:tr w:rsidR="00E570C4" w:rsidRPr="00E570C4" w14:paraId="6B50605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AA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2A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7C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74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1.433,40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47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214B0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CB7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3F3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Jednokratna potpora učenicima i studentima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052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27F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401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228479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967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411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DCD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483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40A0CA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F05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07D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C44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7BB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B80E0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86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D2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BA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4D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5E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B5F6B2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21A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EF0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Sufinanciranje troškova odvoza komunalnog otpada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DD8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45E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105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16,13%</w:t>
            </w:r>
          </w:p>
        </w:tc>
      </w:tr>
      <w:tr w:rsidR="00E570C4" w:rsidRPr="00E570C4" w14:paraId="19FFE7E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D93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8C1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C4F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8D2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16,13%</w:t>
            </w:r>
          </w:p>
        </w:tc>
      </w:tr>
      <w:tr w:rsidR="00E570C4" w:rsidRPr="00E570C4" w14:paraId="5BACA84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0BA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826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2EC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487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16,13%</w:t>
            </w:r>
          </w:p>
        </w:tc>
      </w:tr>
      <w:tr w:rsidR="00E570C4" w:rsidRPr="00E570C4" w14:paraId="488A62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AE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62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92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B7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4A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16,13%</w:t>
            </w:r>
          </w:p>
        </w:tc>
      </w:tr>
      <w:tr w:rsidR="00E570C4" w:rsidRPr="00E570C4" w14:paraId="2B279E6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8A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A5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344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D1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ED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EC26A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4F2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A101809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513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Naknada za komunalno opremanje hrvatskih branitelja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CFB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CE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1C8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8DCB1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7B0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99E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CAA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064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203251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CB2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DF7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00A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E4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8A9FB1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07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B1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03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92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CD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481A6B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135B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99FC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Humanitarna skrb kroz udruge građana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7522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B6D1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8DC3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94,27%</w:t>
            </w:r>
          </w:p>
        </w:tc>
      </w:tr>
      <w:tr w:rsidR="00E570C4" w:rsidRPr="00E570C4" w14:paraId="363193B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67D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A101901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F0C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Poticaj djelovanju udruga osoba s invaliditetom, socijalnih i humanitarnih udruga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89A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6C8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B32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78,79%</w:t>
            </w:r>
          </w:p>
        </w:tc>
      </w:tr>
      <w:tr w:rsidR="00E570C4" w:rsidRPr="00E570C4" w14:paraId="2677036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D03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A2F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A15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804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78,79%</w:t>
            </w:r>
          </w:p>
        </w:tc>
      </w:tr>
      <w:tr w:rsidR="00E570C4" w:rsidRPr="00E570C4" w14:paraId="46B2745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A7A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F68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A74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8F4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78,79%</w:t>
            </w:r>
          </w:p>
        </w:tc>
      </w:tr>
      <w:tr w:rsidR="00E570C4" w:rsidRPr="00E570C4" w14:paraId="3DDD7AF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F3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95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0D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39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6C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78,79%</w:t>
            </w:r>
          </w:p>
        </w:tc>
      </w:tr>
      <w:tr w:rsidR="00E570C4" w:rsidRPr="00E570C4" w14:paraId="27E9D68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38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3C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7A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66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C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6F78A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7EF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A101902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648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Poticaj djelovanju udruga proisteklih iz Domovinskog 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28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1F7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017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96,00%</w:t>
            </w:r>
          </w:p>
        </w:tc>
      </w:tr>
      <w:tr w:rsidR="00E570C4" w:rsidRPr="00E570C4" w14:paraId="56BD6DD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57B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CE6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C2F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001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96,00%</w:t>
            </w:r>
          </w:p>
        </w:tc>
      </w:tr>
      <w:tr w:rsidR="00E570C4" w:rsidRPr="00E570C4" w14:paraId="7DC1FC5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CA89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C01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E96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B20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96,00%</w:t>
            </w:r>
          </w:p>
        </w:tc>
      </w:tr>
      <w:tr w:rsidR="00E570C4" w:rsidRPr="00E570C4" w14:paraId="5814E6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9D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24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41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6A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82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96,00%</w:t>
            </w:r>
          </w:p>
        </w:tc>
      </w:tr>
      <w:tr w:rsidR="00E570C4" w:rsidRPr="00E570C4" w14:paraId="0C12880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C84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E6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F6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3E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5D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ED731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83A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A101904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BD3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6DA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119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DF5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95,00%</w:t>
            </w:r>
          </w:p>
        </w:tc>
      </w:tr>
      <w:tr w:rsidR="00E570C4" w:rsidRPr="00E570C4" w14:paraId="5C2E672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657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E67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582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2A8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95,00%</w:t>
            </w:r>
          </w:p>
        </w:tc>
      </w:tr>
      <w:tr w:rsidR="00E570C4" w:rsidRPr="00E570C4" w14:paraId="0813688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8A0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84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D51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2E0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95,00%</w:t>
            </w:r>
          </w:p>
        </w:tc>
      </w:tr>
      <w:tr w:rsidR="00E570C4" w:rsidRPr="00E570C4" w14:paraId="6A7C3BA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B1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0C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F7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0B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12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95,00%</w:t>
            </w:r>
          </w:p>
        </w:tc>
      </w:tr>
      <w:tr w:rsidR="00E570C4" w:rsidRPr="00E570C4" w14:paraId="42C3E0D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88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57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56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3E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11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622C8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95D1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9ABD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5D4E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399.510,00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8BE8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207.425,42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61DC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51,92%</w:t>
            </w:r>
          </w:p>
        </w:tc>
      </w:tr>
      <w:tr w:rsidR="00E570C4" w:rsidRPr="00E570C4" w14:paraId="20E2715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3EE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3E1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Sufinanciranje troškova prijevoza učenika srednjih škola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D1F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F26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3.531,00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ACB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44,14%</w:t>
            </w:r>
          </w:p>
        </w:tc>
      </w:tr>
      <w:tr w:rsidR="00E570C4" w:rsidRPr="00E570C4" w14:paraId="4CFD2E1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3F71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A31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54B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3.531,00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114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44,14%</w:t>
            </w:r>
          </w:p>
        </w:tc>
      </w:tr>
      <w:tr w:rsidR="00E570C4" w:rsidRPr="00E570C4" w14:paraId="00B1FAA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E51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E00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FA4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3.531,00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C6D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44,14%</w:t>
            </w:r>
          </w:p>
        </w:tc>
      </w:tr>
      <w:tr w:rsidR="00E570C4" w:rsidRPr="00E570C4" w14:paraId="47B020E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BE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82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D7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A3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3.531,00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08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44,14%</w:t>
            </w:r>
          </w:p>
        </w:tc>
      </w:tr>
      <w:tr w:rsidR="00E570C4" w:rsidRPr="00E570C4" w14:paraId="0F41570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26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9F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B2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D5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3.531,00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23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8FD942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588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398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Sufinanciranje nabave drugog obrazovnog materijala za učenike osnovnih škola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E2C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A9A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F5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0,21%</w:t>
            </w:r>
          </w:p>
        </w:tc>
      </w:tr>
      <w:tr w:rsidR="00E570C4" w:rsidRPr="00E570C4" w14:paraId="3E1C4F7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969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852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D5D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6D7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0,21%</w:t>
            </w:r>
          </w:p>
        </w:tc>
      </w:tr>
      <w:tr w:rsidR="00E570C4" w:rsidRPr="00E570C4" w14:paraId="18231B2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1A8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FE4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97C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754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0,21%</w:t>
            </w:r>
          </w:p>
        </w:tc>
      </w:tr>
      <w:tr w:rsidR="00E570C4" w:rsidRPr="00E570C4" w14:paraId="5F369E5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E9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21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B4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E6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D5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0,21%</w:t>
            </w:r>
          </w:p>
        </w:tc>
      </w:tr>
      <w:tr w:rsidR="00E570C4" w:rsidRPr="00E570C4" w14:paraId="129B032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48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87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DA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13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126,42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0D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A94B77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583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462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Sufinanciranje troškova školskih natjecanja, susreta i smotri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651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EF0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5F7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E6E961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EC9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62D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180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621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95FE61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1C6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9BF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2DC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388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4F769C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88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EE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28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02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D5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F4CB64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AF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F0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F5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D6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AB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514B69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A8F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0E2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Nagrade učenicima i studentima za postignute rezultate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0BB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999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CEE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0E288F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DD1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D74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ECD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6F0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6C7D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DB7F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1E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C95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20D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1B6521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AB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9F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65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6A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A6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FDCD97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862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7C9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Aktivnost: Jednokratna potpora učenicima S.Š.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A.Šenoa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Garešnica koji pohađaju Opću gimnaziju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674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38A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A05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E09E1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071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71E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41A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6C1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D330A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1E3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FF7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423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FF7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C0F97C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21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AA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61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37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AC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AF871F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9F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A102010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611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Sufinanciranje troškova prijevoza učenika osnovnih škola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818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0E4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178.230,00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65A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59,41%</w:t>
            </w:r>
          </w:p>
        </w:tc>
      </w:tr>
      <w:tr w:rsidR="00E570C4" w:rsidRPr="00E570C4" w14:paraId="525A9B7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81B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E19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188.189,00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AE1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88.163,97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130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46,85%</w:t>
            </w:r>
          </w:p>
        </w:tc>
      </w:tr>
      <w:tr w:rsidR="00E570C4" w:rsidRPr="00E570C4" w14:paraId="158777B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B00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AE6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188.189,00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E25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88.163,97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8D8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46,85%</w:t>
            </w:r>
          </w:p>
        </w:tc>
      </w:tr>
      <w:tr w:rsidR="00E570C4" w:rsidRPr="00E570C4" w14:paraId="49FB861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CE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74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30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188.189,00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A1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88.163,97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5A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46,85%</w:t>
            </w:r>
          </w:p>
        </w:tc>
      </w:tr>
      <w:tr w:rsidR="00E570C4" w:rsidRPr="00E570C4" w14:paraId="054F44E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E7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88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4D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B0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88.163,97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E0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5B2B2B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300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50D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111.811,00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30D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90.066,03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591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80,55%</w:t>
            </w:r>
          </w:p>
        </w:tc>
      </w:tr>
      <w:tr w:rsidR="00E570C4" w:rsidRPr="00E570C4" w14:paraId="64833AA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29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2CF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111.811,00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C5C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90.066,03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F3C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80,55%</w:t>
            </w:r>
          </w:p>
        </w:tc>
      </w:tr>
      <w:tr w:rsidR="00E570C4" w:rsidRPr="00E570C4" w14:paraId="43B7A72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DA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E5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07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111.811,00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5D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90.066,03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43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80,55%</w:t>
            </w:r>
          </w:p>
        </w:tc>
      </w:tr>
      <w:tr w:rsidR="00E570C4" w:rsidRPr="00E570C4" w14:paraId="1A4326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B6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87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79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58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90.066,03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5C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003454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7CE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1E1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Provedba edukativnih i kulturnih aktivnosti za djecu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26B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258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25.538,00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39C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94,55%</w:t>
            </w:r>
          </w:p>
        </w:tc>
      </w:tr>
      <w:tr w:rsidR="00E570C4" w:rsidRPr="00E570C4" w14:paraId="6569E0B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86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636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27.010,00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6B7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25.538,00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741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94,55%</w:t>
            </w:r>
          </w:p>
        </w:tc>
      </w:tr>
      <w:tr w:rsidR="00E570C4" w:rsidRPr="00E570C4" w14:paraId="3818176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FAE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B61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27.010,00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A80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25.538,00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3F5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94,55%</w:t>
            </w:r>
          </w:p>
        </w:tc>
      </w:tr>
      <w:tr w:rsidR="00E570C4" w:rsidRPr="00E570C4" w14:paraId="0620404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63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5A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CB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C0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25.538,00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E2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94,55%</w:t>
            </w:r>
          </w:p>
        </w:tc>
      </w:tr>
      <w:tr w:rsidR="00E570C4" w:rsidRPr="00E570C4" w14:paraId="1972BB1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D6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56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8A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E2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25.538,00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ED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956747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80E0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1FA2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Poticanje zapošljavanja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A2F0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392.300,00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F4B1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238.281,03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5094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60,74%</w:t>
            </w:r>
          </w:p>
        </w:tc>
      </w:tr>
      <w:tr w:rsidR="00E570C4" w:rsidRPr="00E570C4" w14:paraId="4D5E4F6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EC4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A102201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545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Redovna djelatnost zaposlenih u javnim radovima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7D5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4C2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5.480,70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29C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38,33%</w:t>
            </w:r>
          </w:p>
        </w:tc>
      </w:tr>
      <w:tr w:rsidR="00E570C4" w:rsidRPr="00E570C4" w14:paraId="31D469F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826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AF3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32B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5.480,70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C55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38,33%</w:t>
            </w:r>
          </w:p>
        </w:tc>
      </w:tr>
      <w:tr w:rsidR="00E570C4" w:rsidRPr="00E570C4" w14:paraId="5495EA2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303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A11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4B6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5.480,70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D9F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38,33%</w:t>
            </w:r>
          </w:p>
        </w:tc>
      </w:tr>
      <w:tr w:rsidR="00E570C4" w:rsidRPr="00E570C4" w14:paraId="0BCE20C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BC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BA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AA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9A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5.356,73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20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38,82%</w:t>
            </w:r>
          </w:p>
        </w:tc>
      </w:tr>
      <w:tr w:rsidR="00E570C4" w:rsidRPr="00E570C4" w14:paraId="5FC8AB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5D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68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64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B7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4.598,05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25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F0D84E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EA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26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17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59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758,68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3F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4252BC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34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C2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F0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15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4D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24,79%</w:t>
            </w:r>
          </w:p>
        </w:tc>
      </w:tr>
      <w:tr w:rsidR="00E570C4" w:rsidRPr="00E570C4" w14:paraId="58755FA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EC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92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70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B8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02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A4CD3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39B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T102204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C02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Projekt "Nikad nije kasno" -  faza IV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34B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05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232.800,33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9A7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61,59%</w:t>
            </w:r>
          </w:p>
        </w:tc>
      </w:tr>
      <w:tr w:rsidR="00E570C4" w:rsidRPr="00E570C4" w14:paraId="652D9CD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B13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8BE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A2B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232.800,33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DF4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61,59%</w:t>
            </w:r>
          </w:p>
        </w:tc>
      </w:tr>
      <w:tr w:rsidR="00E570C4" w:rsidRPr="00E570C4" w14:paraId="2C5D12C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6E8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9D5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56.700,00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10E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26.571,25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703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46,86%</w:t>
            </w:r>
          </w:p>
        </w:tc>
      </w:tr>
      <w:tr w:rsidR="00E570C4" w:rsidRPr="00E570C4" w14:paraId="1497599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30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4C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15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95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26.571,25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0C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51,05%</w:t>
            </w:r>
          </w:p>
        </w:tc>
      </w:tr>
      <w:tr w:rsidR="00E570C4" w:rsidRPr="00E570C4" w14:paraId="55044ED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D5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A1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52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95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24.594,37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47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6067AE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40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04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8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C9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1.976,88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62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4DD874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FE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C8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A1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1F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DF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8CA970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BD2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900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AC1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206.229,08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3F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64,19%</w:t>
            </w:r>
          </w:p>
        </w:tc>
      </w:tr>
      <w:tr w:rsidR="00E570C4" w:rsidRPr="00E570C4" w14:paraId="6095519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AE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99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4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294.950,00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B9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191.258,08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FD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64,84%</w:t>
            </w:r>
          </w:p>
        </w:tc>
      </w:tr>
      <w:tr w:rsidR="00E570C4" w:rsidRPr="00E570C4" w14:paraId="5EFD48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6B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40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97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80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162.383,59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2F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965BF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47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DC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CF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AF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28.874,49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6D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6D4460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91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4C3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46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53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14.971,00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60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56,82%</w:t>
            </w:r>
          </w:p>
        </w:tc>
      </w:tr>
      <w:tr w:rsidR="00E570C4" w:rsidRPr="00E570C4" w14:paraId="00F7561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D6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9E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F3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27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9.071,50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43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856E4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A5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A2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FD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94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5.899,50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5F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6BDC55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8226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1024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FA6D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Razvoj civilnog društva - udruge građana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3786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55.105,00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2F24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49.964,10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9095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90,67%</w:t>
            </w:r>
          </w:p>
        </w:tc>
      </w:tr>
      <w:tr w:rsidR="00E570C4" w:rsidRPr="00E570C4" w14:paraId="6CFAF53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907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A102401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3EC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Poticaj djelovanju udruga građana - natječaji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297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B71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13.860,00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DBB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92,40%</w:t>
            </w:r>
          </w:p>
        </w:tc>
      </w:tr>
      <w:tr w:rsidR="00E570C4" w:rsidRPr="00E570C4" w14:paraId="122A52F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D61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E3E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55F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13.860,00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821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92,40%</w:t>
            </w:r>
          </w:p>
        </w:tc>
      </w:tr>
      <w:tr w:rsidR="00E570C4" w:rsidRPr="00E570C4" w14:paraId="6072D40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C84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1B4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674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13.860,00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D6C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92,40%</w:t>
            </w:r>
          </w:p>
        </w:tc>
      </w:tr>
      <w:tr w:rsidR="00E570C4" w:rsidRPr="00E570C4" w14:paraId="3017AE9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B2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43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F1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58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13.860,00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A6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92,40%</w:t>
            </w:r>
          </w:p>
        </w:tc>
      </w:tr>
      <w:tr w:rsidR="00E570C4" w:rsidRPr="00E570C4" w14:paraId="38A7B17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D8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0F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51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4F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13.860,00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BB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6A35F6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FD5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A102402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C73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Djelatnost vjerskih zajednica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3F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20.105,00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1FE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16.104,10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608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80,10%</w:t>
            </w:r>
          </w:p>
        </w:tc>
      </w:tr>
      <w:tr w:rsidR="00E570C4" w:rsidRPr="00E570C4" w14:paraId="4D2D0A0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035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27B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20.105,00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9CF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16.104,10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CD5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80,10%</w:t>
            </w:r>
          </w:p>
        </w:tc>
      </w:tr>
      <w:tr w:rsidR="00E570C4" w:rsidRPr="00E570C4" w14:paraId="45BE7A7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7C9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DEA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20.105,00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309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16.104,10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8D4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80,10%</w:t>
            </w:r>
          </w:p>
        </w:tc>
      </w:tr>
      <w:tr w:rsidR="00E570C4" w:rsidRPr="00E570C4" w14:paraId="5022A40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BC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1C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3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20.105,00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0D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16.104,10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5D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80,10%</w:t>
            </w:r>
          </w:p>
        </w:tc>
      </w:tr>
      <w:tr w:rsidR="00E570C4" w:rsidRPr="00E570C4" w14:paraId="7E74986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46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ED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ED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C2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16.104,10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CC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7EE88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784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K102401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F4D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Obnova sakralnih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502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FE4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609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68E15BA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C11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844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21F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A13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20ED26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578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1ED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C12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BB6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79C96B8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15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16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93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07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E2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2146BA7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05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F8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7E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43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09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0514A1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CCD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00202 VATROGASNE POSTROJBE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52E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986.936,57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590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520.617,10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638E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52,75%</w:t>
            </w:r>
          </w:p>
        </w:tc>
      </w:tr>
      <w:tr w:rsidR="00E570C4" w:rsidRPr="00E570C4" w14:paraId="0808685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C2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25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F9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249.698,50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74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44,04%</w:t>
            </w:r>
          </w:p>
        </w:tc>
      </w:tr>
      <w:tr w:rsidR="00E570C4" w:rsidRPr="00E570C4" w14:paraId="7687B8B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94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07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30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249.698,50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E2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44,04%</w:t>
            </w:r>
          </w:p>
        </w:tc>
      </w:tr>
      <w:tr w:rsidR="00E570C4" w:rsidRPr="00E570C4" w14:paraId="59DBF68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E6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67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34.892,57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D4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0B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54,42%</w:t>
            </w:r>
          </w:p>
        </w:tc>
      </w:tr>
      <w:tr w:rsidR="00E570C4" w:rsidRPr="00E570C4" w14:paraId="371F67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F2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FE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34.892,57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F4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02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54,42%</w:t>
            </w:r>
          </w:p>
        </w:tc>
      </w:tr>
      <w:tr w:rsidR="00E570C4" w:rsidRPr="00E570C4" w14:paraId="742E8B8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79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C2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385.044,00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F2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251.930,89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75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65,43%</w:t>
            </w:r>
          </w:p>
        </w:tc>
      </w:tr>
      <w:tr w:rsidR="00E570C4" w:rsidRPr="00E570C4" w14:paraId="4BF75F8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90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3D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268.546,00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FE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202.368,71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28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75,36%</w:t>
            </w:r>
          </w:p>
        </w:tc>
      </w:tr>
      <w:tr w:rsidR="00E570C4" w:rsidRPr="00E570C4" w14:paraId="001E361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B5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D7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116.498,00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74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49.562,18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93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42,54%</w:t>
            </w:r>
          </w:p>
        </w:tc>
      </w:tr>
      <w:tr w:rsidR="00E570C4" w:rsidRPr="00E570C4" w14:paraId="1573BF2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0EA8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34709 JAVNA VATROGASNA POSTROJBA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6669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986.936,57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F72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520.617,10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3FD8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52,75%</w:t>
            </w:r>
          </w:p>
        </w:tc>
      </w:tr>
      <w:tr w:rsidR="00E570C4" w:rsidRPr="00E570C4" w14:paraId="220E843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BD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56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65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249.698,50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47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44,04%</w:t>
            </w:r>
          </w:p>
        </w:tc>
      </w:tr>
      <w:tr w:rsidR="00E570C4" w:rsidRPr="00E570C4" w14:paraId="0C8C9B8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7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51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567.000,00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65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249.698,50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79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44,04%</w:t>
            </w:r>
          </w:p>
        </w:tc>
      </w:tr>
      <w:tr w:rsidR="00E570C4" w:rsidRPr="00E570C4" w14:paraId="3B62ABC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64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C5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34.892,57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B8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F0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54,42%</w:t>
            </w:r>
          </w:p>
        </w:tc>
      </w:tr>
      <w:tr w:rsidR="00E570C4" w:rsidRPr="00E570C4" w14:paraId="12B3C13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39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AA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34.892,57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D7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8E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54,42%</w:t>
            </w:r>
          </w:p>
        </w:tc>
      </w:tr>
      <w:tr w:rsidR="00E570C4" w:rsidRPr="00E570C4" w14:paraId="578BC93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A1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32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385.044,00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D5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251.930,89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99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65,43%</w:t>
            </w:r>
          </w:p>
        </w:tc>
      </w:tr>
      <w:tr w:rsidR="00E570C4" w:rsidRPr="00E570C4" w14:paraId="11F6F89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09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30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268.546,00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C3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202.368,71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C3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75,36%</w:t>
            </w:r>
          </w:p>
        </w:tc>
      </w:tr>
      <w:tr w:rsidR="00E570C4" w:rsidRPr="00E570C4" w14:paraId="4E54F1F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6D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01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116.498,00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A7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49.562,18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D0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42,54%</w:t>
            </w:r>
          </w:p>
        </w:tc>
      </w:tr>
      <w:tr w:rsidR="00E570C4" w:rsidRPr="00E570C4" w14:paraId="45198FB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D41D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9A0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Zaštita od požara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FC5C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986.936,57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7634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520.617,10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C733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52,75%</w:t>
            </w:r>
          </w:p>
        </w:tc>
      </w:tr>
      <w:tr w:rsidR="00E570C4" w:rsidRPr="00E570C4" w14:paraId="2DE3DEF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B2B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A100501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0A9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javne vatrogasne postrojbe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181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620.892,57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FEF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266.603,97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0C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42,94%</w:t>
            </w:r>
          </w:p>
        </w:tc>
      </w:tr>
      <w:tr w:rsidR="00E570C4" w:rsidRPr="00E570C4" w14:paraId="1538ED8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D92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A8F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470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231.040,26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D17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45,24%</w:t>
            </w:r>
          </w:p>
        </w:tc>
      </w:tr>
      <w:tr w:rsidR="00E570C4" w:rsidRPr="00E570C4" w14:paraId="6B01E04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D8E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361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37F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231.040,26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3B7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45,24%</w:t>
            </w:r>
          </w:p>
        </w:tc>
      </w:tr>
      <w:tr w:rsidR="00E570C4" w:rsidRPr="00E570C4" w14:paraId="23DBBE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87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3B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D2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478.400,00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56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215.866,52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24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45,12%</w:t>
            </w:r>
          </w:p>
        </w:tc>
      </w:tr>
      <w:tr w:rsidR="00E570C4" w:rsidRPr="00E570C4" w14:paraId="4EDA786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EE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AB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62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AA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113.778,44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69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6150E9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DB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7C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0C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21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76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72BE8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9B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FB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4F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9B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36.287,73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84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CCA95B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5F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E5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4B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60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15.583,72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B2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C7004B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E0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6F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AB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22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49.988,03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2A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7F1F7F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57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9D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AB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19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13.201,34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59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44,30%</w:t>
            </w:r>
          </w:p>
        </w:tc>
      </w:tr>
      <w:tr w:rsidR="00E570C4" w:rsidRPr="00E570C4" w14:paraId="1D4B730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6F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D1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CB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1B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755,34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E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46B3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9F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F7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62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9F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219,28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5E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EC6581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0A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F0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8C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75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172,54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66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46F5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17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76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87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AD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4.880,29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7A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37DA97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65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1E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38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C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2.692,55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45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B52510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BD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5D4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F6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30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883,33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21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4098C1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78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E8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C0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FA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356,45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09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7F2A7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5B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58C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36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1B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5F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D1A380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EF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58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2E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76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680,45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3B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54B3C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3D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29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D9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B0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2.544,81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5D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3A0572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FD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0D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D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66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1.972,40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FD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78,90%</w:t>
            </w:r>
          </w:p>
        </w:tc>
      </w:tr>
      <w:tr w:rsidR="00E570C4" w:rsidRPr="00E570C4" w14:paraId="344F170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1A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C7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CA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80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1.972,40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54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E0D8A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401F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D01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29.592,57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C7C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CD3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64,16%</w:t>
            </w:r>
          </w:p>
        </w:tc>
      </w:tr>
      <w:tr w:rsidR="00E570C4" w:rsidRPr="00E570C4" w14:paraId="16FA7AA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46B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FA3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29.592,57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790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FFA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64,16%</w:t>
            </w:r>
          </w:p>
        </w:tc>
      </w:tr>
      <w:tr w:rsidR="00E570C4" w:rsidRPr="00E570C4" w14:paraId="342788F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BA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C5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05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4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3E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F861F1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9C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8D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D9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28.592,57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83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18.987,71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5B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66,41%</w:t>
            </w:r>
          </w:p>
        </w:tc>
      </w:tr>
      <w:tr w:rsidR="00E570C4" w:rsidRPr="00E570C4" w14:paraId="1CDF84A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92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C3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E6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B5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1.023,00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BB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C984F6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72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20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14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6C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8.796,40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02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60AF4F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6E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9D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A6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9C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621,23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B8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DC8239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75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4B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A0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F7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2.182,94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47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8F3027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A6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E1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03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26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B8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B0CA7C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B1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E5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C1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68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DD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5A606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50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30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E7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DE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277,92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9D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303712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5D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66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F3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2B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2.599,42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C0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2D0F6B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54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7E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44C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1C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1.896,91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9F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9B47EF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84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6C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E0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3F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191,16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E5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464360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B5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B0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2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B3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159,73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43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730B5B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9EE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33E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7E5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16.576,00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9BF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20,57%</w:t>
            </w:r>
          </w:p>
        </w:tc>
      </w:tr>
      <w:tr w:rsidR="00E570C4" w:rsidRPr="00E570C4" w14:paraId="6B17F7C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883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E6F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80E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F30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4,63%</w:t>
            </w:r>
          </w:p>
        </w:tc>
      </w:tr>
      <w:tr w:rsidR="00E570C4" w:rsidRPr="00E570C4" w14:paraId="10F04B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89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5F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68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CB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AF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ED241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54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BE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DD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BA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13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8,06%</w:t>
            </w:r>
          </w:p>
        </w:tc>
      </w:tr>
      <w:tr w:rsidR="00E570C4" w:rsidRPr="00E570C4" w14:paraId="6C4585D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AF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353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64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F4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B5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7CA30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DB2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CC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2BF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16.326,00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4D6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21,71%</w:t>
            </w:r>
          </w:p>
        </w:tc>
      </w:tr>
      <w:tr w:rsidR="00E570C4" w:rsidRPr="00E570C4" w14:paraId="7BC4F1C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2E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65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A8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C3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16.326,00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5B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21,71%</w:t>
            </w:r>
          </w:p>
        </w:tc>
      </w:tr>
      <w:tr w:rsidR="00E570C4" w:rsidRPr="00E570C4" w14:paraId="299688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EF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9D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05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4C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16.326,00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7C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3C469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0E8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A100504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522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javne vatrogasne postrojbe - decentralizirana sredstva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15D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344.144,00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A8E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244.499,40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D12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71,05%</w:t>
            </w:r>
          </w:p>
        </w:tc>
      </w:tr>
      <w:tr w:rsidR="00E570C4" w:rsidRPr="00E570C4" w14:paraId="0058FE4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841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680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FAE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9.144,51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575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22,30%</w:t>
            </w:r>
          </w:p>
        </w:tc>
      </w:tr>
      <w:tr w:rsidR="00E570C4" w:rsidRPr="00E570C4" w14:paraId="1EEEC11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F90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FE8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878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9.144,51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0C9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22,30%</w:t>
            </w:r>
          </w:p>
        </w:tc>
      </w:tr>
      <w:tr w:rsidR="00E570C4" w:rsidRPr="00E570C4" w14:paraId="593443E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A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F7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F4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77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47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38B25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BB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E2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B8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F4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9.144,51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92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63,07%</w:t>
            </w:r>
          </w:p>
        </w:tc>
      </w:tr>
      <w:tr w:rsidR="00E570C4" w:rsidRPr="00E570C4" w14:paraId="7528BFF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40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78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AA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AC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949,19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B3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9EAA12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7C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E5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A5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3E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512,79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62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AFB06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27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78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97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2D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1.126,61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87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61FA7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00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F2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7D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B2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6.555,92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71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74E8C5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BC6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9EE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303.144,00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65E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235.354,89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DC0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77,64%</w:t>
            </w:r>
          </w:p>
        </w:tc>
      </w:tr>
      <w:tr w:rsidR="00E570C4" w:rsidRPr="00E570C4" w14:paraId="69E249B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A0A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FC1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261.846,00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C0A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202.118,71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56A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77,19%</w:t>
            </w:r>
          </w:p>
        </w:tc>
      </w:tr>
      <w:tr w:rsidR="00E570C4" w:rsidRPr="00E570C4" w14:paraId="2193542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E4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A9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E7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261.846,00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B3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202.118,71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53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77,19%</w:t>
            </w:r>
          </w:p>
        </w:tc>
      </w:tr>
      <w:tr w:rsidR="00E570C4" w:rsidRPr="00E570C4" w14:paraId="2C1D96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77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2B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88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5A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202.118,71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A5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FD7DE1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735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3EB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41.298,00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C11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33.236,18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C2E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80,48%</w:t>
            </w:r>
          </w:p>
        </w:tc>
      </w:tr>
      <w:tr w:rsidR="00E570C4" w:rsidRPr="00E570C4" w14:paraId="57418CD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15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1D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32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69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06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7C880D1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C7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0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41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89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40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83EF3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00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AE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67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32.498,00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D8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24.436,18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3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75,19%</w:t>
            </w:r>
          </w:p>
        </w:tc>
      </w:tr>
      <w:tr w:rsidR="00E570C4" w:rsidRPr="00E570C4" w14:paraId="0DC77A7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B3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E0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D3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26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5.865,47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21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EBC932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AC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7A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98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3F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7.638,17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3C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F14073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A3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44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0F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3F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1.232,54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19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C78D26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B6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CA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16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54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BE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049E2C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EE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7E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2F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24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DC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FBE643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DB5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K100501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775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Nabava dugotrajne imovine (Javna vatrogasna postrojba) - oprema i vozila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3E8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FB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9.513,73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7C2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43,44%</w:t>
            </w:r>
          </w:p>
        </w:tc>
      </w:tr>
      <w:tr w:rsidR="00E570C4" w:rsidRPr="00E570C4" w14:paraId="1AECA14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7A4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EE7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0E2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9.513,73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3AE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62,18%</w:t>
            </w:r>
          </w:p>
        </w:tc>
      </w:tr>
      <w:tr w:rsidR="00E570C4" w:rsidRPr="00E570C4" w14:paraId="6399AA5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345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6A3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AF0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9.513,73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F9D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62,18%</w:t>
            </w:r>
          </w:p>
        </w:tc>
      </w:tr>
      <w:tr w:rsidR="00E570C4" w:rsidRPr="00E570C4" w14:paraId="7DAEDCF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57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24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11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29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9.513,73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80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62,18%</w:t>
            </w:r>
          </w:p>
        </w:tc>
      </w:tr>
      <w:tr w:rsidR="00E570C4" w:rsidRPr="00E570C4" w14:paraId="75C880D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1F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FC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77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73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693,80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BA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F84347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BF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4E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A6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EF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8.819,93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48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FB393F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D66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A37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A70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3B2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8C22A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F9C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589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933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CC4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FD0F78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D9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AC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70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AF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B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558909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567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37D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8C0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064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A7D86A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FF4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997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5BF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CB2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327174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AF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A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00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1D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47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6DC9D5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B516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00203 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3965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2.275.113,70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B8F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990.553,91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E60F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43,54%</w:t>
            </w:r>
          </w:p>
        </w:tc>
      </w:tr>
      <w:tr w:rsidR="00E570C4" w:rsidRPr="00E570C4" w14:paraId="3DEFC42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27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A4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1.091.300,00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37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6D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46,08%</w:t>
            </w:r>
          </w:p>
        </w:tc>
      </w:tr>
      <w:tr w:rsidR="00E570C4" w:rsidRPr="00E570C4" w14:paraId="51EE58B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E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87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1.091.300,00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8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E1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46,08%</w:t>
            </w:r>
          </w:p>
        </w:tc>
      </w:tr>
      <w:tr w:rsidR="00E570C4" w:rsidRPr="00E570C4" w14:paraId="3EFC666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24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B4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359.243,76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A3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109.717,74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61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30,54%</w:t>
            </w:r>
          </w:p>
        </w:tc>
      </w:tr>
      <w:tr w:rsidR="00E570C4" w:rsidRPr="00E570C4" w14:paraId="3DB816D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50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21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359.243,76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05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109.717,74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23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30,54%</w:t>
            </w:r>
          </w:p>
        </w:tc>
      </w:tr>
      <w:tr w:rsidR="00E570C4" w:rsidRPr="00E570C4" w14:paraId="490BD9D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A9C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lastRenderedPageBreak/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DF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820.569,94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ED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377.298,97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CB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45,98%</w:t>
            </w:r>
          </w:p>
        </w:tc>
      </w:tr>
      <w:tr w:rsidR="00E570C4" w:rsidRPr="00E570C4" w14:paraId="01BF99D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FE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33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ED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238.882,77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DA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49,46%</w:t>
            </w:r>
          </w:p>
        </w:tc>
      </w:tr>
      <w:tr w:rsidR="00E570C4" w:rsidRPr="00E570C4" w14:paraId="73C4E56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54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57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337.569,94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9A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138.416,20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8C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41,00%</w:t>
            </w:r>
          </w:p>
        </w:tc>
      </w:tr>
      <w:tr w:rsidR="00E570C4" w:rsidRPr="00E570C4" w14:paraId="185C2AC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7D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E2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3A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655,58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07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16,39%</w:t>
            </w:r>
          </w:p>
        </w:tc>
      </w:tr>
      <w:tr w:rsidR="00E570C4" w:rsidRPr="00E570C4" w14:paraId="5F7E394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33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C8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94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655,58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FD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16,39%</w:t>
            </w:r>
          </w:p>
        </w:tc>
      </w:tr>
      <w:tr w:rsidR="00E570C4" w:rsidRPr="00E570C4" w14:paraId="448C6D2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917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34694 DJEČJI VRTIĆ MASLAČAK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B037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2.275.113,70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5A52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990.553,91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6F3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43,54%</w:t>
            </w:r>
          </w:p>
        </w:tc>
      </w:tr>
      <w:tr w:rsidR="00E570C4" w:rsidRPr="00E570C4" w14:paraId="5FEEF8B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73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71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1.091.300,00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E4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EB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46,08%</w:t>
            </w:r>
          </w:p>
        </w:tc>
      </w:tr>
      <w:tr w:rsidR="00E570C4" w:rsidRPr="00E570C4" w14:paraId="3D6D30E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F4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7F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1.091.300,00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96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18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46,08%</w:t>
            </w:r>
          </w:p>
        </w:tc>
      </w:tr>
      <w:tr w:rsidR="00E570C4" w:rsidRPr="00E570C4" w14:paraId="2B70F09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AD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92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359.243,76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D4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109.717,74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C6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30,54%</w:t>
            </w:r>
          </w:p>
        </w:tc>
      </w:tr>
      <w:tr w:rsidR="00E570C4" w:rsidRPr="00E570C4" w14:paraId="239CDBD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7A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93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359.243,76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42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109.717,74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1F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30,54%</w:t>
            </w:r>
          </w:p>
        </w:tc>
      </w:tr>
      <w:tr w:rsidR="00E570C4" w:rsidRPr="00E570C4" w14:paraId="4C142D5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6F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F0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820.569,94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CD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377.298,97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CF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45,98%</w:t>
            </w:r>
          </w:p>
        </w:tc>
      </w:tr>
      <w:tr w:rsidR="00E570C4" w:rsidRPr="00E570C4" w14:paraId="4FC02E5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BF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4A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6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238.882,77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C8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49,46%</w:t>
            </w:r>
          </w:p>
        </w:tc>
      </w:tr>
      <w:tr w:rsidR="00E570C4" w:rsidRPr="00E570C4" w14:paraId="474CCA5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AD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5E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337.569,94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1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138.416,20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57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41,00%</w:t>
            </w:r>
          </w:p>
        </w:tc>
      </w:tr>
      <w:tr w:rsidR="00E570C4" w:rsidRPr="00E570C4" w14:paraId="55E2439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20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5E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78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655,58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C7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16,39%</w:t>
            </w:r>
          </w:p>
        </w:tc>
      </w:tr>
      <w:tr w:rsidR="00E570C4" w:rsidRPr="00E570C4" w14:paraId="3F61060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61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F3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22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655,58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A8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16,39%</w:t>
            </w:r>
          </w:p>
        </w:tc>
      </w:tr>
      <w:tr w:rsidR="00E570C4" w:rsidRPr="00E570C4" w14:paraId="4E226A9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308F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FF4A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DC87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2.275.113,70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4DBA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990.553,91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E5C7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43,54%</w:t>
            </w:r>
          </w:p>
        </w:tc>
      </w:tr>
      <w:tr w:rsidR="00E570C4" w:rsidRPr="00E570C4" w14:paraId="4F6C7BF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0D3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A101601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076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Dječjeg vrtića Maslačak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9BE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2.220.713,70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E51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985.417,14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E3D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44,37%</w:t>
            </w:r>
          </w:p>
        </w:tc>
      </w:tr>
      <w:tr w:rsidR="00E570C4" w:rsidRPr="00E570C4" w14:paraId="1F719FD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DD1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95D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1.081.000,00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63B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279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46,52%</w:t>
            </w:r>
          </w:p>
        </w:tc>
      </w:tr>
      <w:tr w:rsidR="00E570C4" w:rsidRPr="00E570C4" w14:paraId="34E2F55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E8A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400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1.081.000,00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9A5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08F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46,52%</w:t>
            </w:r>
          </w:p>
        </w:tc>
      </w:tr>
      <w:tr w:rsidR="00E570C4" w:rsidRPr="00E570C4" w14:paraId="2391C26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13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2A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03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F7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502.881,62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CB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47,67%</w:t>
            </w:r>
          </w:p>
        </w:tc>
      </w:tr>
      <w:tr w:rsidR="00E570C4" w:rsidRPr="00E570C4" w14:paraId="1796FA3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06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38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C9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01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400.828,91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38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51A89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ED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6E3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7D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FC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16.004,35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F3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FF2CF9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15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14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D7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C9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86.048,36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FB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5CE0C3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F8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DD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79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4E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CC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BC17CC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C7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39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B1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8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7E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1348E2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DAF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97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328.143,76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D38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105.074,41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741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32,02%</w:t>
            </w:r>
          </w:p>
        </w:tc>
      </w:tr>
      <w:tr w:rsidR="00E570C4" w:rsidRPr="00E570C4" w14:paraId="71863E2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DDB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3A1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328.143,76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EDC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105.074,41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B7E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32,02%</w:t>
            </w:r>
          </w:p>
        </w:tc>
      </w:tr>
      <w:tr w:rsidR="00E570C4" w:rsidRPr="00E570C4" w14:paraId="0D842B2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6F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11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81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123.043,76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D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23.429,52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D2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19,04%</w:t>
            </w:r>
          </w:p>
        </w:tc>
      </w:tr>
      <w:tr w:rsidR="00E570C4" w:rsidRPr="00E570C4" w14:paraId="18A1B18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45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7F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DC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90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23.429,52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3B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654F8A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D9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B8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32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205.100,00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93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81.644,89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7C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39,81%</w:t>
            </w:r>
          </w:p>
        </w:tc>
      </w:tr>
      <w:tr w:rsidR="00E570C4" w:rsidRPr="00E570C4" w14:paraId="10487A9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47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DC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71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7C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790,64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E4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66872E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90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FC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A8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52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10.256,13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C4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D9742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6C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F1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E9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19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1.623,50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92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6A343F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37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6E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8D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0D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230,85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D5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F4FBB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31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FB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23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66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9.296,84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52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07D9B6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74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9E8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960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92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33.968,33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9E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D3ED80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1A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0C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3F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D2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14.559,64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F1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4DC7B3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73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29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90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A0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A8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77D667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DA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B6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D3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52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19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C37D42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77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6B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C2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34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1.014,79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88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A44A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EE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FA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E1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23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3D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85EFF7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23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6A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3C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A0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4.275,36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BB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989C55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9D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06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96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3C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5F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4EBE1E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37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34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71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8C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998,76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7A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4ADEDC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7F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60F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9D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F8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2.879,87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5D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88E43D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83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B2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10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68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CA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6B892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70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8F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75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8D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163,60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87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67FFF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78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11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1B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ED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637,81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E6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B25CDA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3A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EC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4C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F0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E3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D5B04B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F9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CD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80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1B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FD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F5449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2F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1CF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53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77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476,10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2E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EEF727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6A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4C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30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18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50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F8A751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704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4BD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809.569,94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3B4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376.925,51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510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46,56%</w:t>
            </w:r>
          </w:p>
        </w:tc>
      </w:tr>
      <w:tr w:rsidR="00E570C4" w:rsidRPr="00E570C4" w14:paraId="0D84488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A34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DCF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483.000,00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311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238.882,77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171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49,46%</w:t>
            </w:r>
          </w:p>
        </w:tc>
      </w:tr>
      <w:tr w:rsidR="00E570C4" w:rsidRPr="00E570C4" w14:paraId="4BDF397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32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27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62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7B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238.882,77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89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49,77%</w:t>
            </w:r>
          </w:p>
        </w:tc>
      </w:tr>
      <w:tr w:rsidR="00E570C4" w:rsidRPr="00E570C4" w14:paraId="3F9CD36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35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27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9C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43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238.882,77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04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850E4E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EE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42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40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93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ED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C15679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923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7E3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326.569,94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D16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138.042,74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643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42,27%</w:t>
            </w:r>
          </w:p>
        </w:tc>
      </w:tr>
      <w:tr w:rsidR="00E570C4" w:rsidRPr="00E570C4" w14:paraId="757365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1F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2A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B4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272.069,94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35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117.662,53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20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43,25%</w:t>
            </w:r>
          </w:p>
        </w:tc>
      </w:tr>
      <w:tr w:rsidR="00E570C4" w:rsidRPr="00E570C4" w14:paraId="4BF545D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4E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AC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2C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84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79.497,71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C4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D34F3C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4D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0D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81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91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18.315,67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AD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375FB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B8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76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AC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3C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19.849,15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C1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C3E5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AD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B6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81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D4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20.380,21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0D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37,39%</w:t>
            </w:r>
          </w:p>
        </w:tc>
      </w:tr>
      <w:tr w:rsidR="00E570C4" w:rsidRPr="00E570C4" w14:paraId="6945C2D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67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F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1C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5E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3.450,88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EC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DAF2AF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FE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09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7E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47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461,74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16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F9B58C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7E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2B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E1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E6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659,88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50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2520A5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CF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79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A0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13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2.099,79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B5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A4D7D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5B1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67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C3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27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9.138,89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86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EBC7E4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47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9C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4E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0A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1.256,01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20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180EE1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21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E9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1E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22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173,25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1F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70EFE0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7D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C0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17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E9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295,29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A2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5E108F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C9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C8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AE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6C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1.174,06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AE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CD5CEC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28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B9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0C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62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949,70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00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7C8D0E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FF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65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34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04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80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09615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0F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478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1B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8C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D4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489B4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F1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80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C2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AA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70,11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12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B9E219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85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EE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85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6A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74,72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B1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8710E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71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5D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49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AD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5A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405C2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FC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1E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F3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E5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4B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8B88FB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452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EAD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8AD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535,60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5B3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26,78%</w:t>
            </w:r>
          </w:p>
        </w:tc>
      </w:tr>
      <w:tr w:rsidR="00E570C4" w:rsidRPr="00E570C4" w14:paraId="7966137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F09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289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4EE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535,60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EAC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26,78%</w:t>
            </w:r>
          </w:p>
        </w:tc>
      </w:tr>
      <w:tr w:rsidR="00E570C4" w:rsidRPr="00E570C4" w14:paraId="472A080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CF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05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A7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8D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535,60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CA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26,78%</w:t>
            </w:r>
          </w:p>
        </w:tc>
      </w:tr>
      <w:tr w:rsidR="00E570C4" w:rsidRPr="00E570C4" w14:paraId="1857E21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9B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14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8B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2F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535,60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DF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E4E2AF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9B7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A101602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131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Redovno održavanje opreme i prijevoznih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57F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16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1.495,30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610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13,59%</w:t>
            </w:r>
          </w:p>
        </w:tc>
      </w:tr>
      <w:tr w:rsidR="00E570C4" w:rsidRPr="00E570C4" w14:paraId="5AF91D0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3E2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526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1CC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1.406,32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0A1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15,63%</w:t>
            </w:r>
          </w:p>
        </w:tc>
      </w:tr>
      <w:tr w:rsidR="00E570C4" w:rsidRPr="00E570C4" w14:paraId="5EFBD6E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AB7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491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A1E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1.406,32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0C7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15,63%</w:t>
            </w:r>
          </w:p>
        </w:tc>
      </w:tr>
      <w:tr w:rsidR="00E570C4" w:rsidRPr="00E570C4" w14:paraId="4609CD2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34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0E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47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58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1.406,32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D3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15,63%</w:t>
            </w:r>
          </w:p>
        </w:tc>
      </w:tr>
      <w:tr w:rsidR="00E570C4" w:rsidRPr="00E570C4" w14:paraId="0DC6D0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0B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F9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87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2E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1.087,57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D1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29304B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7E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C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3B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30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318,75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42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8E765C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902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3B0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236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88,98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F6A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4,45%</w:t>
            </w:r>
          </w:p>
        </w:tc>
      </w:tr>
      <w:tr w:rsidR="00E570C4" w:rsidRPr="00E570C4" w14:paraId="6625384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8CA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FB5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02A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88,98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2E6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4,45%</w:t>
            </w:r>
          </w:p>
        </w:tc>
      </w:tr>
      <w:tr w:rsidR="00E570C4" w:rsidRPr="00E570C4" w14:paraId="7640A98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B4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32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3B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DD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88,98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5E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4,45%</w:t>
            </w:r>
          </w:p>
        </w:tc>
      </w:tr>
      <w:tr w:rsidR="00E570C4" w:rsidRPr="00E570C4" w14:paraId="6D37AD0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57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40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3D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5F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88,98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97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F8F0EA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672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A101603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C2F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Redovno održavanje objekta vrtića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7CD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716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1.230,78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B49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26,76%</w:t>
            </w:r>
          </w:p>
        </w:tc>
      </w:tr>
      <w:tr w:rsidR="00E570C4" w:rsidRPr="00E570C4" w14:paraId="7665491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30C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5EA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413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1.197,43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41C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33,26%</w:t>
            </w:r>
          </w:p>
        </w:tc>
      </w:tr>
      <w:tr w:rsidR="00E570C4" w:rsidRPr="00E570C4" w14:paraId="32D847B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0D5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60F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33C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1.197,43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F3B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33,26%</w:t>
            </w:r>
          </w:p>
        </w:tc>
      </w:tr>
      <w:tr w:rsidR="00E570C4" w:rsidRPr="00E570C4" w14:paraId="176899A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9E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D4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FA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E0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1.197,43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6B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33,26%</w:t>
            </w:r>
          </w:p>
        </w:tc>
      </w:tr>
      <w:tr w:rsidR="00E570C4" w:rsidRPr="00E570C4" w14:paraId="2122BBF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7C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82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04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49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534,93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43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1DC6BB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AF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BA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24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C7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2D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5F481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C57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DEF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360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159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3,34%</w:t>
            </w:r>
          </w:p>
        </w:tc>
      </w:tr>
      <w:tr w:rsidR="00E570C4" w:rsidRPr="00E570C4" w14:paraId="4890853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E92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CA5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306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F47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3,34%</w:t>
            </w:r>
          </w:p>
        </w:tc>
      </w:tr>
      <w:tr w:rsidR="00E570C4" w:rsidRPr="00E570C4" w14:paraId="7AC197E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66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8F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80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BC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4E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3,34%</w:t>
            </w:r>
          </w:p>
        </w:tc>
      </w:tr>
      <w:tr w:rsidR="00E570C4" w:rsidRPr="00E570C4" w14:paraId="68ECCEA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30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49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E5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7C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10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45E1D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05D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K101601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0C3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Opremanje javne ustanove  - Dječji vrtić Maslačak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2E8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20C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2.410,69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816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6,21%</w:t>
            </w:r>
          </w:p>
        </w:tc>
      </w:tr>
      <w:tr w:rsidR="00E570C4" w:rsidRPr="00E570C4" w14:paraId="2DB71B3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594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490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CE3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198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D8F7E5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AED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5C5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9B8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A0C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70D4E9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A6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B1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F8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22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55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FB4773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BED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36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2EB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2.039,58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048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11,02%</w:t>
            </w:r>
          </w:p>
        </w:tc>
      </w:tr>
      <w:tr w:rsidR="00E570C4" w:rsidRPr="00E570C4" w14:paraId="5BF8F3B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E8E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C2D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7DE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2.039,58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84B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11,02%</w:t>
            </w:r>
          </w:p>
        </w:tc>
      </w:tr>
      <w:tr w:rsidR="00E570C4" w:rsidRPr="00E570C4" w14:paraId="1661A7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4C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9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4C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94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2.039,58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D3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11,02%</w:t>
            </w:r>
          </w:p>
        </w:tc>
      </w:tr>
      <w:tr w:rsidR="00E570C4" w:rsidRPr="00E570C4" w14:paraId="5ABBB61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AE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20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B8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EE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1.213,35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8E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962A6C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75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7D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8B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9D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346,75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8E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82C133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EF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2F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3D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A0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479,48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87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808AD4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ABE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8E4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88F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251,13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D11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3,14%</w:t>
            </w:r>
          </w:p>
        </w:tc>
      </w:tr>
      <w:tr w:rsidR="00E570C4" w:rsidRPr="00E570C4" w14:paraId="2D7F433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C9D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DDC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EA4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251,13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73C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3,14%</w:t>
            </w:r>
          </w:p>
        </w:tc>
      </w:tr>
      <w:tr w:rsidR="00E570C4" w:rsidRPr="00E570C4" w14:paraId="7C7B3C2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22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69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15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6B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251,13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D5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3,14%</w:t>
            </w:r>
          </w:p>
        </w:tc>
      </w:tr>
      <w:tr w:rsidR="00E570C4" w:rsidRPr="00E570C4" w14:paraId="3E08ED5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AD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13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99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6A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251,13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A0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27077D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604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65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F1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08E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6,00%</w:t>
            </w:r>
          </w:p>
        </w:tc>
      </w:tr>
      <w:tr w:rsidR="00E570C4" w:rsidRPr="00E570C4" w14:paraId="13B9B6B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37A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1C8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CFE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EAD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6,00%</w:t>
            </w:r>
          </w:p>
        </w:tc>
      </w:tr>
      <w:tr w:rsidR="00E570C4" w:rsidRPr="00E570C4" w14:paraId="3B050FD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6C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DA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08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C3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47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6,00%</w:t>
            </w:r>
          </w:p>
        </w:tc>
      </w:tr>
      <w:tr w:rsidR="00E570C4" w:rsidRPr="00E570C4" w14:paraId="0C90D2C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F6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46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03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119,98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4A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B96570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1F8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00204 USTANOVE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D43D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5855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90.773,40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DFCB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50,25%</w:t>
            </w:r>
          </w:p>
        </w:tc>
      </w:tr>
      <w:tr w:rsidR="00E570C4" w:rsidRPr="00E570C4" w14:paraId="5EAC318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D9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26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121.500,00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AE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60.872,49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D0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50,10%</w:t>
            </w:r>
          </w:p>
        </w:tc>
      </w:tr>
      <w:tr w:rsidR="00E570C4" w:rsidRPr="00E570C4" w14:paraId="51C97B0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45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BF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121.500,00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5F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60.872,49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C3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50,10%</w:t>
            </w:r>
          </w:p>
        </w:tc>
      </w:tr>
      <w:tr w:rsidR="00E570C4" w:rsidRPr="00E570C4" w14:paraId="702CAB5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A0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D5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BB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08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37,50%</w:t>
            </w:r>
          </w:p>
        </w:tc>
      </w:tr>
      <w:tr w:rsidR="00E570C4" w:rsidRPr="00E570C4" w14:paraId="173EFC4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A3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64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22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BA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37,50%</w:t>
            </w:r>
          </w:p>
        </w:tc>
      </w:tr>
      <w:tr w:rsidR="00E570C4" w:rsidRPr="00E570C4" w14:paraId="4183497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52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BF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57.850,00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D6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29.350,91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11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50,74%</w:t>
            </w:r>
          </w:p>
        </w:tc>
      </w:tr>
      <w:tr w:rsidR="00E570C4" w:rsidRPr="00E570C4" w14:paraId="5885954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2F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EF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E7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83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66F284F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B3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B4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79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10.485,15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D7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38,91%</w:t>
            </w:r>
          </w:p>
        </w:tc>
      </w:tr>
      <w:tr w:rsidR="00E570C4" w:rsidRPr="00E570C4" w14:paraId="29C364A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DF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80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7F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18.465,76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C0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60,54%</w:t>
            </w:r>
          </w:p>
        </w:tc>
      </w:tr>
      <w:tr w:rsidR="00E570C4" w:rsidRPr="00E570C4" w14:paraId="5B7FB98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1F4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8F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4D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A3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A48D92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07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8D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2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2E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4F90F2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ECF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34686 HRVATSKA KNJIŽNICA I ČITAONICA "ĐURO SUDETA"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28A6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7E9F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90.773,40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B2DD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50,25%</w:t>
            </w:r>
          </w:p>
        </w:tc>
      </w:tr>
      <w:tr w:rsidR="00E570C4" w:rsidRPr="00E570C4" w14:paraId="2CEC4C0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82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2D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121.500,00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C8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60.872,49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62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50,10%</w:t>
            </w:r>
          </w:p>
        </w:tc>
      </w:tr>
      <w:tr w:rsidR="00E570C4" w:rsidRPr="00E570C4" w14:paraId="2DBD620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C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87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121.500,00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E2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60.872,49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6F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50,10%</w:t>
            </w:r>
          </w:p>
        </w:tc>
      </w:tr>
      <w:tr w:rsidR="00E570C4" w:rsidRPr="00E570C4" w14:paraId="3C72B68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E4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B3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63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6D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37,50%</w:t>
            </w:r>
          </w:p>
        </w:tc>
      </w:tr>
      <w:tr w:rsidR="00E570C4" w:rsidRPr="00E570C4" w14:paraId="33794E0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41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C0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C5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F0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37,50%</w:t>
            </w:r>
          </w:p>
        </w:tc>
      </w:tr>
      <w:tr w:rsidR="00E570C4" w:rsidRPr="00E570C4" w14:paraId="1589B84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36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BD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57.850,00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C9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29.350,91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CD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50,74%</w:t>
            </w:r>
          </w:p>
        </w:tc>
      </w:tr>
      <w:tr w:rsidR="00E570C4" w:rsidRPr="00E570C4" w14:paraId="5C9AA5F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0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D0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19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15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103F3F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E2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86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50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10.485,15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B9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38,91%</w:t>
            </w:r>
          </w:p>
        </w:tc>
      </w:tr>
      <w:tr w:rsidR="00E570C4" w:rsidRPr="00E570C4" w14:paraId="5AA7F2F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26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3D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D4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18.465,76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F3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60,54%</w:t>
            </w:r>
          </w:p>
        </w:tc>
      </w:tr>
      <w:tr w:rsidR="00E570C4" w:rsidRPr="00E570C4" w14:paraId="1DBC965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0B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AE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5A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CD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2C36FBF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4D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2C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3E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A2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378EC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6C75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E513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Javne potrebe u kulturi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2751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7EF1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90.773,40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0A47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50,25%</w:t>
            </w:r>
          </w:p>
        </w:tc>
      </w:tr>
      <w:tr w:rsidR="00E570C4" w:rsidRPr="00E570C4" w14:paraId="015564B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0AB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A100601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17E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Redovna djelatnost Knjižnice i čitaonice "Đuro Sudeta"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B33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141.350,00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FE9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76.357,65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1FC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54,02%</w:t>
            </w:r>
          </w:p>
        </w:tc>
      </w:tr>
      <w:tr w:rsidR="00E570C4" w:rsidRPr="00E570C4" w14:paraId="706C107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62D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9EE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BBF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57.849,53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BFA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51,88%</w:t>
            </w:r>
          </w:p>
        </w:tc>
      </w:tr>
      <w:tr w:rsidR="00E570C4" w:rsidRPr="00E570C4" w14:paraId="7BA3149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094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941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D70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57.849,53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7EB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51,88%</w:t>
            </w:r>
          </w:p>
        </w:tc>
      </w:tr>
      <w:tr w:rsidR="00E570C4" w:rsidRPr="00E570C4" w14:paraId="5781E39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1B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E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4C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8E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45.986,79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64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54,10%</w:t>
            </w:r>
          </w:p>
        </w:tc>
      </w:tr>
      <w:tr w:rsidR="00E570C4" w:rsidRPr="00E570C4" w14:paraId="2233224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BC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07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77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E4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38.314,83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C6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E50E27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D4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D8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27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6A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67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30CE30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F1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DD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DA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41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6.321,96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A5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26DD8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4E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84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14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A5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11.862,74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E0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44,77%</w:t>
            </w:r>
          </w:p>
        </w:tc>
      </w:tr>
      <w:tr w:rsidR="00E570C4" w:rsidRPr="00E570C4" w14:paraId="7319A2A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E7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2E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2B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E2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327,69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93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E29CC8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A5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82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AC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62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FF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C3EF8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02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B5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F6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F7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2.006,21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BE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295F25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1E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46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9C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D6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716,24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5E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CFCF7F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D0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21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C3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14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1.886,31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BE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D48EA8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9B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1C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5F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99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1.114,34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A7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8DEF8C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CB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36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3A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46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554,74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6A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2C2CEA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D8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B4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2D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A2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249,96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1C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A8EA48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E9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0B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99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12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855,00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E7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1A267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29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D4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56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9E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1.947,04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1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E721B2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9E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67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47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17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345,80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C4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541E4A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D0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F2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C5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67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209,20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32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38A49F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E5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63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18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2A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854,12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A5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157EB9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B5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97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FE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93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A1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6881DA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23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EE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BB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EA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0D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29D069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7D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B5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70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D6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FB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6AD027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46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75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1A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BB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406,24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6D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62152C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3AE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BCB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950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DAF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0C4EB1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06A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7D5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EB9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EA6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8D5E8A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8C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44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CC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13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5D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725C5F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BE6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92D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63E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18.408,12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D92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62,08%</w:t>
            </w:r>
          </w:p>
        </w:tc>
      </w:tr>
      <w:tr w:rsidR="00E570C4" w:rsidRPr="00E570C4" w14:paraId="0B50C55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8B2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153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BB9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090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211B8F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A0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7E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D7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AA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F6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76DC760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E3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25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64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52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A9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BE3E4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87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D35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8D2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51E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44,00%</w:t>
            </w:r>
          </w:p>
        </w:tc>
      </w:tr>
      <w:tr w:rsidR="00E570C4" w:rsidRPr="00E570C4" w14:paraId="45FB850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D8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19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FD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70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DD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44,00%</w:t>
            </w:r>
          </w:p>
        </w:tc>
      </w:tr>
      <w:tr w:rsidR="00E570C4" w:rsidRPr="00E570C4" w14:paraId="7EAB90E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18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1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9F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0D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B5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2957DB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2D1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75D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9EB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17.458,12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917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62,35%</w:t>
            </w:r>
          </w:p>
        </w:tc>
      </w:tr>
      <w:tr w:rsidR="00E570C4" w:rsidRPr="00E570C4" w14:paraId="7536827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38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01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B2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0B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16.850,57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FC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63,59%</w:t>
            </w:r>
          </w:p>
        </w:tc>
      </w:tr>
      <w:tr w:rsidR="00E570C4" w:rsidRPr="00E570C4" w14:paraId="62A3A1D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35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5E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4B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DD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13.691,46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C9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DBC430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3C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D9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094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27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F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372BF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33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E0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8B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69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2.259,11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96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0BD63D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C3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7E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FC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04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607,55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BA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40,50%</w:t>
            </w:r>
          </w:p>
        </w:tc>
      </w:tr>
      <w:tr w:rsidR="00E570C4" w:rsidRPr="00E570C4" w14:paraId="6D4B4C1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54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5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C4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DA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D0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78CD13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21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3A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20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8F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56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6DC482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75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3A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F6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75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13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B2437C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89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5A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6F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75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9A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7F6918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C8C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F83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0AB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350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62B13E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AEE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686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64E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CE2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070434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72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82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80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D4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64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1B149C9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E8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13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643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4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F8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D28291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91D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A100602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822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opreme za redovno korištenje - Knjižnica i čitaonica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408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E74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6D2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E69A9B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C5B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0AE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215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602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D17DB6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037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782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C4B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9AA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09BDEB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34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74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A3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F7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DC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932DA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B5A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A100603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D52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poslovnog objekta knjižnice za redovno korištenje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D3A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9CB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0D6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45,00%</w:t>
            </w:r>
          </w:p>
        </w:tc>
      </w:tr>
      <w:tr w:rsidR="00E570C4" w:rsidRPr="00E570C4" w14:paraId="767CCB6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B1F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1AE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FBB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BE4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45,00%</w:t>
            </w:r>
          </w:p>
        </w:tc>
      </w:tr>
      <w:tr w:rsidR="00E570C4" w:rsidRPr="00E570C4" w14:paraId="4EE3441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4B6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A10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1B1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611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45,00%</w:t>
            </w:r>
          </w:p>
        </w:tc>
      </w:tr>
      <w:tr w:rsidR="00E570C4" w:rsidRPr="00E570C4" w14:paraId="6B83687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F7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A4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45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2A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E4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45,00%</w:t>
            </w:r>
          </w:p>
        </w:tc>
      </w:tr>
      <w:tr w:rsidR="00E570C4" w:rsidRPr="00E570C4" w14:paraId="17876F9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AA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C6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AB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39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0A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72A154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072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K100601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134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Opremanje knjižnice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CBA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24A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13.965,75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260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36,56%</w:t>
            </w:r>
          </w:p>
        </w:tc>
      </w:tr>
      <w:tr w:rsidR="00E570C4" w:rsidRPr="00E570C4" w14:paraId="260B99D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F4E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C6B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4C1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3.022,96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E86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30,23%</w:t>
            </w:r>
          </w:p>
        </w:tc>
      </w:tr>
      <w:tr w:rsidR="00E570C4" w:rsidRPr="00E570C4" w14:paraId="640D42F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A12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489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157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3.022,96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002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30,23%</w:t>
            </w:r>
          </w:p>
        </w:tc>
      </w:tr>
      <w:tr w:rsidR="00E570C4" w:rsidRPr="00E570C4" w14:paraId="22F11C5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7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94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EB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35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3.022,96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55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30,23%</w:t>
            </w:r>
          </w:p>
        </w:tc>
      </w:tr>
      <w:tr w:rsidR="00E570C4" w:rsidRPr="00E570C4" w14:paraId="113718E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73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2D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CD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E6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3.022,96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60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370A18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3F8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81D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029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10.942,79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918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38,80%</w:t>
            </w:r>
          </w:p>
        </w:tc>
      </w:tr>
      <w:tr w:rsidR="00E570C4" w:rsidRPr="00E570C4" w14:paraId="4720662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105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5CF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4D6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9.935,15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E52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38,66%</w:t>
            </w:r>
          </w:p>
        </w:tc>
      </w:tr>
      <w:tr w:rsidR="00E570C4" w:rsidRPr="00E570C4" w14:paraId="2AF5337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86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08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6F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E3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9.935,15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39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38,66%</w:t>
            </w:r>
          </w:p>
        </w:tc>
      </w:tr>
      <w:tr w:rsidR="00E570C4" w:rsidRPr="00E570C4" w14:paraId="3328DE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00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84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97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1E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9.935,15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15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0BF939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E21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7AF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5E1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1.007,64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B38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40,31%</w:t>
            </w:r>
          </w:p>
        </w:tc>
      </w:tr>
      <w:tr w:rsidR="00E570C4" w:rsidRPr="00E570C4" w14:paraId="208A46B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4C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FC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09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40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1.007,64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06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40,31%</w:t>
            </w:r>
          </w:p>
        </w:tc>
      </w:tr>
      <w:tr w:rsidR="00E570C4" w:rsidRPr="00E570C4" w14:paraId="0B33044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D3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0A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42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44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1.007,64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71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9EB1C7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8D7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GLAVA 00205 JAVNA USTANOVA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AE4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0D4F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90.507,95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11F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40,07%</w:t>
            </w:r>
          </w:p>
        </w:tc>
      </w:tr>
      <w:tr w:rsidR="00E570C4" w:rsidRPr="00E570C4" w14:paraId="709A9A2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62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49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48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81.839,87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B1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48,71%</w:t>
            </w:r>
          </w:p>
        </w:tc>
      </w:tr>
      <w:tr w:rsidR="00E570C4" w:rsidRPr="00E570C4" w14:paraId="346005A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40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64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2B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81.839,87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11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48,71%</w:t>
            </w:r>
          </w:p>
        </w:tc>
      </w:tr>
      <w:tr w:rsidR="00E570C4" w:rsidRPr="00E570C4" w14:paraId="1CFD85F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A4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89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03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1C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29,36%</w:t>
            </w:r>
          </w:p>
        </w:tc>
      </w:tr>
      <w:tr w:rsidR="00E570C4" w:rsidRPr="00E570C4" w14:paraId="62586B8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CE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D3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15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A6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29,36%</w:t>
            </w:r>
          </w:p>
        </w:tc>
      </w:tr>
      <w:tr w:rsidR="00E570C4" w:rsidRPr="00E570C4" w14:paraId="76AE753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95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7F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94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1.190,00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15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5,48%</w:t>
            </w:r>
          </w:p>
        </w:tc>
      </w:tr>
      <w:tr w:rsidR="00E570C4" w:rsidRPr="00E570C4" w14:paraId="0A854F6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54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DE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00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06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0332F72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49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7C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BA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28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66,00%</w:t>
            </w:r>
          </w:p>
        </w:tc>
      </w:tr>
      <w:tr w:rsidR="00E570C4" w:rsidRPr="00E570C4" w14:paraId="37C82D1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1C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69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5E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8E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F34C11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4E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BC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92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3F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858E3E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01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67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11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A2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F24C73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2C55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52581 JAVNA USTANOVA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C9F4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C880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90.507,95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458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40,07%</w:t>
            </w:r>
          </w:p>
        </w:tc>
      </w:tr>
      <w:tr w:rsidR="00E570C4" w:rsidRPr="00E570C4" w14:paraId="583BCB5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C4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D6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AF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81.839,87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5C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48,71%</w:t>
            </w:r>
          </w:p>
        </w:tc>
      </w:tr>
      <w:tr w:rsidR="00E570C4" w:rsidRPr="00E570C4" w14:paraId="721D04B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BA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31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0E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81.839,87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D4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48,71%</w:t>
            </w:r>
          </w:p>
        </w:tc>
      </w:tr>
      <w:tr w:rsidR="00E570C4" w:rsidRPr="00E570C4" w14:paraId="7D62932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2D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67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F1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4F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29,36%</w:t>
            </w:r>
          </w:p>
        </w:tc>
      </w:tr>
      <w:tr w:rsidR="00E570C4" w:rsidRPr="00E570C4" w14:paraId="4B46DD0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E6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09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3A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6B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29,36%</w:t>
            </w:r>
          </w:p>
        </w:tc>
      </w:tr>
      <w:tr w:rsidR="00E570C4" w:rsidRPr="00E570C4" w14:paraId="4A1BAB0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D5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0C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D8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1.190,00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16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5,48%</w:t>
            </w:r>
          </w:p>
        </w:tc>
      </w:tr>
      <w:tr w:rsidR="00E570C4" w:rsidRPr="00E570C4" w14:paraId="7AC817C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95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B3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92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27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6C0A2A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B5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8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11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B1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66,00%</w:t>
            </w:r>
          </w:p>
        </w:tc>
      </w:tr>
      <w:tr w:rsidR="00E570C4" w:rsidRPr="00E570C4" w14:paraId="7A2D58D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CD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05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86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57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53FC47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B0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lastRenderedPageBreak/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15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4E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8F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8AB67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D0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EA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D1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51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68EAA3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86DB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A963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Poticanje razvoja turizma i zajednice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68EC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48B4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90.507,95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4BBC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40,07%</w:t>
            </w:r>
          </w:p>
        </w:tc>
      </w:tr>
      <w:tr w:rsidR="00E570C4" w:rsidRPr="00E570C4" w14:paraId="10E1D4F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51D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A101402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8CA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Redovna djelatnost Javne ustanove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120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207.871,64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673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88.670,90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54F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42,66%</w:t>
            </w:r>
          </w:p>
        </w:tc>
      </w:tr>
      <w:tr w:rsidR="00E570C4" w:rsidRPr="00E570C4" w14:paraId="3FF2C40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2B9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BAF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7EE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80.002,82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1F1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E570C4" w:rsidRPr="00E570C4" w14:paraId="2D39566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75C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480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FEC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80.002,82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983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E570C4" w:rsidRPr="00E570C4" w14:paraId="57B4E0A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6E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C4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69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28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68.530,55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AC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51,68%</w:t>
            </w:r>
          </w:p>
        </w:tc>
      </w:tr>
      <w:tr w:rsidR="00E570C4" w:rsidRPr="00E570C4" w14:paraId="16EAD10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9A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CA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74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FE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55.605,64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E0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CADBE4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F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72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1E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9D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1F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97172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6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16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EB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D6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9.174,91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39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5C6ACE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D2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1C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EE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A3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11.472,27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37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E570C4" w:rsidRPr="00E570C4" w14:paraId="2B4864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C6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33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B2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F5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81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6CFB3A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36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2E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DB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E0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342,14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BA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C9AE3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3F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FA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AF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F9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EE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2F21EC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931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24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AC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AA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1.142,72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DA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6FF0BF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42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C2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91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C4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2.830,70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6C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FD9DBB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59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07C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FB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57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E3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70AFA6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42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5F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12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8E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1.408,74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E4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AA6D0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9E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81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C8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87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3.556,93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E3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6959F0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20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E6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2C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01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9A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B3F76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F5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E8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7B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E8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F5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346039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A3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D9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6A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E5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288,84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97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59F99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58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68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62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7B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14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CAF35A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E2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68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5D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6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5F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47C3F3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A4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68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37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D4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2B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67C587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0FB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BD4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BDA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57E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29,36%</w:t>
            </w:r>
          </w:p>
        </w:tc>
      </w:tr>
      <w:tr w:rsidR="00E570C4" w:rsidRPr="00E570C4" w14:paraId="0B6ADCD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B1A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768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35C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586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29,36%</w:t>
            </w:r>
          </w:p>
        </w:tc>
      </w:tr>
      <w:tr w:rsidR="00E570C4" w:rsidRPr="00E570C4" w14:paraId="41F7692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534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E5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56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3.671,64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93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8C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04044A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95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F1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D2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0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7.478,08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25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34,46%</w:t>
            </w:r>
          </w:p>
        </w:tc>
      </w:tr>
      <w:tr w:rsidR="00E570C4" w:rsidRPr="00E570C4" w14:paraId="09B27C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0F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BD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D6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3D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2.081,41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32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99AE51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25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0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67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C1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284,08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48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3925A1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2A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A6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2D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E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703,12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0F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9FEEC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F8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65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96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A7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3.160,70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D7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AE4D6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5E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A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46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BE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86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EC8665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FF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13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6A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46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922,77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6E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6AE56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EB3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DE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F4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02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36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10E9CF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8F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C7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D1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1E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07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E10F4F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85C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144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8D3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1.190,00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D42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10,17%</w:t>
            </w:r>
          </w:p>
        </w:tc>
      </w:tr>
      <w:tr w:rsidR="00E570C4" w:rsidRPr="00E570C4" w14:paraId="7726259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2C4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9BB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8EE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779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295A6D9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16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1A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FE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D7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A8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F8FF6B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D6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0B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C3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89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5E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895CAC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922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320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14B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C00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66,00%</w:t>
            </w:r>
          </w:p>
        </w:tc>
      </w:tr>
      <w:tr w:rsidR="00E570C4" w:rsidRPr="00E570C4" w14:paraId="427707B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BF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AD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A6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42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87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66,00%</w:t>
            </w:r>
          </w:p>
        </w:tc>
      </w:tr>
      <w:tr w:rsidR="00E570C4" w:rsidRPr="00E570C4" w14:paraId="1046523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A1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5B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B6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A0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8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80F88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65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DE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9A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23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16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F47F5B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63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07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CA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8A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81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79F88E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6B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CE8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5CD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C71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DCD3F5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8B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B9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0D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25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63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AF8567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353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D1B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9D5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35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96CE26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9FF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A1C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38C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A63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E4488F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EE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BB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39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C1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49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1E2170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85B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A101405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8A3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Redovno održavanje objekta Javne ustanove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414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BA2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B1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1,74%</w:t>
            </w:r>
          </w:p>
        </w:tc>
      </w:tr>
      <w:tr w:rsidR="00E570C4" w:rsidRPr="00E570C4" w14:paraId="6E657F1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B74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06C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03F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52,05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960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1,74%</w:t>
            </w:r>
          </w:p>
        </w:tc>
      </w:tr>
      <w:tr w:rsidR="00E570C4" w:rsidRPr="00E570C4" w14:paraId="1992EA4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90C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7AC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0D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52,05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17C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1,74%</w:t>
            </w:r>
          </w:p>
        </w:tc>
      </w:tr>
      <w:tr w:rsidR="00E570C4" w:rsidRPr="00E570C4" w14:paraId="00BC29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F0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79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78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7A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FA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1,74%</w:t>
            </w:r>
          </w:p>
        </w:tc>
      </w:tr>
      <w:tr w:rsidR="00E570C4" w:rsidRPr="00E570C4" w14:paraId="3EB9BAE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E7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D9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8E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15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B7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4C2829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39C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A101406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265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Redovno održavanje opreme i prijevoznih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E87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354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DE1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CE37FE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969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E2A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D86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D7C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79D8A6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EC2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612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C07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7FB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5D75C8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A5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F5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1A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76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75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CD0F12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5A9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K101404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FA9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Opremanje Javne ustanove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970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25E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1.785,00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8CC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12,75%</w:t>
            </w:r>
          </w:p>
        </w:tc>
      </w:tr>
      <w:tr w:rsidR="00E570C4" w:rsidRPr="00E570C4" w14:paraId="39EF82E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012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84D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3A0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1.785,00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48E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44,63%</w:t>
            </w:r>
          </w:p>
        </w:tc>
      </w:tr>
      <w:tr w:rsidR="00E570C4" w:rsidRPr="00E570C4" w14:paraId="1BB36F4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D09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874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714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1.785,00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AAC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44,63%</w:t>
            </w:r>
          </w:p>
        </w:tc>
      </w:tr>
      <w:tr w:rsidR="00E570C4" w:rsidRPr="00E570C4" w14:paraId="098AA30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14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52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C8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47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1.785,00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51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44,63%</w:t>
            </w:r>
          </w:p>
        </w:tc>
      </w:tr>
      <w:tr w:rsidR="00E570C4" w:rsidRPr="00E570C4" w14:paraId="17B360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D1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D3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B2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45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CF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2DE91F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F9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FB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Osnovno stado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49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D2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CC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F523B9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24F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1BA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148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D98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1F3A6E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3B2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5FD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A8E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030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81C0DE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11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2C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8A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EA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AD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66E5E7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4DC7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00206 OSNOVNO ŠKOLSTVO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F909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4.055.098,37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E2F8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2.138.006,91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5B23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52,72%</w:t>
            </w:r>
          </w:p>
        </w:tc>
      </w:tr>
      <w:tr w:rsidR="00E570C4" w:rsidRPr="00E570C4" w14:paraId="4C5863A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AB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92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203.240,00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5F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85.252,30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49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41,95%</w:t>
            </w:r>
          </w:p>
        </w:tc>
      </w:tr>
      <w:tr w:rsidR="00E570C4" w:rsidRPr="00E570C4" w14:paraId="53C5ED7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49C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02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203.240,00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87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85.252,30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A6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41,95%</w:t>
            </w:r>
          </w:p>
        </w:tc>
      </w:tr>
      <w:tr w:rsidR="00E570C4" w:rsidRPr="00E570C4" w14:paraId="1CB37F1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D0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4D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D0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63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361,55%</w:t>
            </w:r>
          </w:p>
        </w:tc>
      </w:tr>
      <w:tr w:rsidR="00E570C4" w:rsidRPr="00E570C4" w14:paraId="21829ED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18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DF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B0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50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361,55%</w:t>
            </w:r>
          </w:p>
        </w:tc>
      </w:tr>
      <w:tr w:rsidR="00E570C4" w:rsidRPr="00E570C4" w14:paraId="448CBB2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72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A0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28.438,78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96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7.546,21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49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26,53%</w:t>
            </w:r>
          </w:p>
        </w:tc>
      </w:tr>
      <w:tr w:rsidR="00E570C4" w:rsidRPr="00E570C4" w14:paraId="0E75660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F9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FD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28.438,78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12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7.546,21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8A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26,53%</w:t>
            </w:r>
          </w:p>
        </w:tc>
      </w:tr>
      <w:tr w:rsidR="00E570C4" w:rsidRPr="00E570C4" w14:paraId="49CB60C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87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87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3.815.919,59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92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2.041.592,91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2F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53,50%</w:t>
            </w:r>
          </w:p>
        </w:tc>
      </w:tr>
      <w:tr w:rsidR="00E570C4" w:rsidRPr="00E570C4" w14:paraId="52815AB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BA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75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C9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679,63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06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97,09%</w:t>
            </w:r>
          </w:p>
        </w:tc>
      </w:tr>
      <w:tr w:rsidR="00E570C4" w:rsidRPr="00E570C4" w14:paraId="044DA03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D5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lastRenderedPageBreak/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30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3.763.379,59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A6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2.007.441,04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5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53,34%</w:t>
            </w:r>
          </w:p>
        </w:tc>
      </w:tr>
      <w:tr w:rsidR="00E570C4" w:rsidRPr="00E570C4" w14:paraId="1981DD4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3A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1F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51.840,00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60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33.472,24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3B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64,57%</w:t>
            </w:r>
          </w:p>
        </w:tc>
      </w:tr>
      <w:tr w:rsidR="00E570C4" w:rsidRPr="00E570C4" w14:paraId="440005B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91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E2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41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DD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A6ED88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C7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80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A3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27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7575BF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76A3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08424 OSNOVNA ŠKOLA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84A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3.206.248,21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C6FB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1.712.904,17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A1EE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53,42%</w:t>
            </w:r>
          </w:p>
        </w:tc>
      </w:tr>
      <w:tr w:rsidR="00E570C4" w:rsidRPr="00E570C4" w14:paraId="7EE6FCF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5E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E9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151.800,00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4A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58.492,62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FF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38,53%</w:t>
            </w:r>
          </w:p>
        </w:tc>
      </w:tr>
      <w:tr w:rsidR="00E570C4" w:rsidRPr="00E570C4" w14:paraId="0A7CCF5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03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2E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151.800,00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6C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58.492,62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6B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38,53%</w:t>
            </w:r>
          </w:p>
        </w:tc>
      </w:tr>
      <w:tr w:rsidR="00E570C4" w:rsidRPr="00E570C4" w14:paraId="7EC273C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C8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CB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EA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D8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66F936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2D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CF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EE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93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6A095A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F9F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26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25.821,21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AF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7.546,21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84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29,22%</w:t>
            </w:r>
          </w:p>
        </w:tc>
      </w:tr>
      <w:tr w:rsidR="00E570C4" w:rsidRPr="00E570C4" w14:paraId="7D6DB6F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C6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8D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25.821,21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25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7.546,21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93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29,22%</w:t>
            </w:r>
          </w:p>
        </w:tc>
      </w:tr>
      <w:tr w:rsidR="00E570C4" w:rsidRPr="00E570C4" w14:paraId="520E51F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A0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DF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3.021.627,00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A3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1.646.865,34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2E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54,50%</w:t>
            </w:r>
          </w:p>
        </w:tc>
      </w:tr>
      <w:tr w:rsidR="00E570C4" w:rsidRPr="00E570C4" w14:paraId="76FEE05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CC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14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B8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679,63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AF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97,09%</w:t>
            </w:r>
          </w:p>
        </w:tc>
      </w:tr>
      <w:tr w:rsidR="00E570C4" w:rsidRPr="00E570C4" w14:paraId="5EC9F20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23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BC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2.990.327,00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D4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1.627.416,79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E3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54,42%</w:t>
            </w:r>
          </w:p>
        </w:tc>
      </w:tr>
      <w:tr w:rsidR="00E570C4" w:rsidRPr="00E570C4" w14:paraId="55C243C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D5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4E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46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18.768,92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A0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7AB43EC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71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1C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97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80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4033DB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7E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0A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FD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C9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08668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62C4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15B5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DEFD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3.206.248,21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B8B9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1.712.904,17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B39F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53,42%</w:t>
            </w:r>
          </w:p>
        </w:tc>
      </w:tr>
      <w:tr w:rsidR="00E570C4" w:rsidRPr="00E570C4" w14:paraId="10A4350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23E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D25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Redovna djelatnost OŠ - decentralizirane funkcije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53C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D69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69.002,73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211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66,99%</w:t>
            </w:r>
          </w:p>
        </w:tc>
      </w:tr>
      <w:tr w:rsidR="00E570C4" w:rsidRPr="00E570C4" w14:paraId="4D7537B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30E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4D7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4D7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69.002,73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E4C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66,99%</w:t>
            </w:r>
          </w:p>
        </w:tc>
      </w:tr>
      <w:tr w:rsidR="00E570C4" w:rsidRPr="00E570C4" w14:paraId="3F945FC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792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F4C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6B0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69.002,73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59C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66,99%</w:t>
            </w:r>
          </w:p>
        </w:tc>
      </w:tr>
      <w:tr w:rsidR="00E570C4" w:rsidRPr="00E570C4" w14:paraId="229A111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A5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EF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AF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98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69.002,73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BE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66,99%</w:t>
            </w:r>
          </w:p>
        </w:tc>
      </w:tr>
      <w:tr w:rsidR="00E570C4" w:rsidRPr="00E570C4" w14:paraId="7DDEBC5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B7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D9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C4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52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6.785,94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31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CF8CA1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4E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4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07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51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08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10F4D8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50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C6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021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59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3.076,00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47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2F0BD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3B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D0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80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79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8.394,27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C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7860CC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DD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36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056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E6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23.135,08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27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2F478E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07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CD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EC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9D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2.671,33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42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3E6AF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32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FB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7D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C8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217,90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6C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80001D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A3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BF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9C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E2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265,89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53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C30AC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8A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1C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B6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20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3.674,94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29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9E0747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36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2F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44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86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3.179,07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C2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B0E81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28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11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4D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BD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5.071,21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B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968DC4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1F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74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D5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FE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AC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8EADA1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77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4B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97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05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3.991,50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31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A2715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E5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3D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51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54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63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80758F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FF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2D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A2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BC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BD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6C22E4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D7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4A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31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F0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2.933,50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B7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AB0EA5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B9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71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F2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C43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730,94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38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9F4ED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66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F26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A5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F0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89,25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67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528A92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0B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B7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DA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6B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68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0FDAE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9D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31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91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9A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376,75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00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C21F90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3C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2B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33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7A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3.111,99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B6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BE3767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94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E6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58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FB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660,67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9E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B1C5A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4FB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D3E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Aktivnost: Redovna djelatnost OŠ - izvan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dec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.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5D4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2.783.906,00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D82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1.493.729,99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574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53,66%</w:t>
            </w:r>
          </w:p>
        </w:tc>
      </w:tr>
      <w:tr w:rsidR="00E570C4" w:rsidRPr="00E570C4" w14:paraId="2CBDA8E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780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BA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30.564,00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7EA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4.649,44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195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15,21%</w:t>
            </w:r>
          </w:p>
        </w:tc>
      </w:tr>
      <w:tr w:rsidR="00E570C4" w:rsidRPr="00E570C4" w14:paraId="1CFBE5A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66D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F4C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30.564,00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E34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4.649,44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DB5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15,21%</w:t>
            </w:r>
          </w:p>
        </w:tc>
      </w:tr>
      <w:tr w:rsidR="00E570C4" w:rsidRPr="00E570C4" w14:paraId="5B61CB4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01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FB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CD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30.264,00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DD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4.649,44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E8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15,36%</w:t>
            </w:r>
          </w:p>
        </w:tc>
      </w:tr>
      <w:tr w:rsidR="00E570C4" w:rsidRPr="00E570C4" w14:paraId="3BBB519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8D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FF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38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99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473,50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E1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24CEB4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0A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14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B7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D3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2.022,08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0F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BDB56B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DF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9A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0E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1C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21,90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F5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427E84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C0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60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18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3A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2.091,96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91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33E1D0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44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85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40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6B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A1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D4626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76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0E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0A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40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4F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42D7A0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825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17F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DB8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DD6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621286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F61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591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A7F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8D5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D7C725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64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7F3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A8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1E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D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DFC37B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C4C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148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777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3.802,70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C8F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51,74%</w:t>
            </w:r>
          </w:p>
        </w:tc>
      </w:tr>
      <w:tr w:rsidR="00E570C4" w:rsidRPr="00E570C4" w14:paraId="3FF1265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370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4AC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BC5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3.802,70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AC7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51,74%</w:t>
            </w:r>
          </w:p>
        </w:tc>
      </w:tr>
      <w:tr w:rsidR="00E570C4" w:rsidRPr="00E570C4" w14:paraId="6DA0545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9B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7A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2F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B6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3.802,70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2E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51,74%</w:t>
            </w:r>
          </w:p>
        </w:tc>
      </w:tr>
      <w:tr w:rsidR="00E570C4" w:rsidRPr="00E570C4" w14:paraId="3A9E51E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0E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2B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3C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2A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1.087,74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2D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6CF1B6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CE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79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13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21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61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20BC36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EA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02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CF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FE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FE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47BDC9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B8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54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8A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42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489,51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CF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26944F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CB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BE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EF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AD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498,54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4B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1188D0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3F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0D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E0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54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6A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07013C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64D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56E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2.742.492,00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289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1.485.277,85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590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54,16%</w:t>
            </w:r>
          </w:p>
        </w:tc>
      </w:tr>
      <w:tr w:rsidR="00E570C4" w:rsidRPr="00E570C4" w14:paraId="338CCB6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3AA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F88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24B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679,63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6FB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97,09%</w:t>
            </w:r>
          </w:p>
        </w:tc>
      </w:tr>
      <w:tr w:rsidR="00E570C4" w:rsidRPr="00E570C4" w14:paraId="45B920B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FC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F78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DD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8A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679,63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8E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97,09%</w:t>
            </w:r>
          </w:p>
        </w:tc>
      </w:tr>
      <w:tr w:rsidR="00E570C4" w:rsidRPr="00E570C4" w14:paraId="53E9967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6E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FD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92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9C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179,63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27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40B53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BF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1A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51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C4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11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5C4404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62D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C3A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2.741.792,00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FBB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1.484.598,22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8E0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54,15%</w:t>
            </w:r>
          </w:p>
        </w:tc>
      </w:tr>
      <w:tr w:rsidR="00E570C4" w:rsidRPr="00E570C4" w14:paraId="4CF49B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C9B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46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A8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2.598.600,00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BB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1.421.342,19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AB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54,70%</w:t>
            </w:r>
          </w:p>
        </w:tc>
      </w:tr>
      <w:tr w:rsidR="00E570C4" w:rsidRPr="00E570C4" w14:paraId="3EA71D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96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B7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65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BD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1.185.085,28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7F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45AEA5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6E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0A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26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E0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40.717,79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71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EC48A9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B1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F7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6F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CF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195.539,12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D6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BCA79D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15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F4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8E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113.992,00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3C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62.205,55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A6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54,57%</w:t>
            </w:r>
          </w:p>
        </w:tc>
      </w:tr>
      <w:tr w:rsidR="00E570C4" w:rsidRPr="00E570C4" w14:paraId="7B1883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9E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74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EB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35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51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FBE90B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1A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E7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D0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DB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55.004,00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2F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5D513D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44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86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D6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6D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2.464,55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2E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DCFBA5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D7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2D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DF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AC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7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D0208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05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8E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00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4D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3.492,00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36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DE9D12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8A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A4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95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85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7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B5B410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F07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2E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4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1E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1.050,48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FC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87,54%</w:t>
            </w:r>
          </w:p>
        </w:tc>
      </w:tr>
      <w:tr w:rsidR="00E570C4" w:rsidRPr="00E570C4" w14:paraId="725155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BE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51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E5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6D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1.050,48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D2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39E9BE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437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634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1B6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CA9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FE5970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03D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D84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BAF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B2F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5A0571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76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E6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6D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3B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CB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0E4E56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8FF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F4A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Prehrana za učenike osnovnih škola osigurana iz sredstava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207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B1C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67.137,43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8CB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55,95%</w:t>
            </w:r>
          </w:p>
        </w:tc>
      </w:tr>
      <w:tr w:rsidR="00E570C4" w:rsidRPr="00E570C4" w14:paraId="09D064F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1F8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A6D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E88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67.137,43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CCE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55,95%</w:t>
            </w:r>
          </w:p>
        </w:tc>
      </w:tr>
      <w:tr w:rsidR="00E570C4" w:rsidRPr="00E570C4" w14:paraId="1BFCE08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EF7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A9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DE9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67.137,43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09B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55,95%</w:t>
            </w:r>
          </w:p>
        </w:tc>
      </w:tr>
      <w:tr w:rsidR="00E570C4" w:rsidRPr="00E570C4" w14:paraId="08B679F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15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17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45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82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67.137,43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11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55,95%</w:t>
            </w:r>
          </w:p>
        </w:tc>
      </w:tr>
      <w:tr w:rsidR="00E570C4" w:rsidRPr="00E570C4" w14:paraId="29B3066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8E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52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D9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FF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67.137,43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8C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71D86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96B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K102004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924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Opremanje OŠ (nabava knjiga i opreme) - decentralizirana sredstva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7A0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230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1.672,40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982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23,89%</w:t>
            </w:r>
          </w:p>
        </w:tc>
      </w:tr>
      <w:tr w:rsidR="00E570C4" w:rsidRPr="00E570C4" w14:paraId="6038B47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876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5FA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B1D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1.672,40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58B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23,89%</w:t>
            </w:r>
          </w:p>
        </w:tc>
      </w:tr>
      <w:tr w:rsidR="00E570C4" w:rsidRPr="00E570C4" w14:paraId="793A7F7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038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43A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ADC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1.672,40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35D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23,89%</w:t>
            </w:r>
          </w:p>
        </w:tc>
      </w:tr>
      <w:tr w:rsidR="00E570C4" w:rsidRPr="00E570C4" w14:paraId="796E731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8BD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67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F3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AB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1.672,40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65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23,89%</w:t>
            </w:r>
          </w:p>
        </w:tc>
      </w:tr>
      <w:tr w:rsidR="00E570C4" w:rsidRPr="00E570C4" w14:paraId="25AD23B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61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6A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9C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B3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43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7D1EA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FC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AC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6A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E0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19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09807F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00A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K102005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189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Kapitalni projekt: Opremanje OŠ (nabava knjiga i opreme) - izvan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dec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.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82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43.106,21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A11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3.043,86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AC7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7,06%</w:t>
            </w:r>
          </w:p>
        </w:tc>
      </w:tr>
      <w:tr w:rsidR="00E570C4" w:rsidRPr="00E570C4" w14:paraId="0B92F29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6DA9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D75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FFF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A2B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6,99%</w:t>
            </w:r>
          </w:p>
        </w:tc>
      </w:tr>
      <w:tr w:rsidR="00E570C4" w:rsidRPr="00E570C4" w14:paraId="669A3EB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11B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9AF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E62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10E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6,99%</w:t>
            </w:r>
          </w:p>
        </w:tc>
      </w:tr>
      <w:tr w:rsidR="00E570C4" w:rsidRPr="00E570C4" w14:paraId="3CA7F4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1F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A7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79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AA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9D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6,99%</w:t>
            </w:r>
          </w:p>
        </w:tc>
      </w:tr>
      <w:tr w:rsidR="00E570C4" w:rsidRPr="00E570C4" w14:paraId="79E48A1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48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60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A3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F9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8D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AAC8AF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209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5D3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7.471,21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078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DB2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F9C209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BB1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65B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7.471,21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879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4B7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6DA815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04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FD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66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7.471,21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B8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52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F553EE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164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379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12.835,00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A13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1.693,86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A62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13,20%</w:t>
            </w:r>
          </w:p>
        </w:tc>
      </w:tr>
      <w:tr w:rsidR="00E570C4" w:rsidRPr="00E570C4" w14:paraId="39804A6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A198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217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12.835,00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EF5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1.693,86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DE0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13,20%</w:t>
            </w:r>
          </w:p>
        </w:tc>
      </w:tr>
      <w:tr w:rsidR="00E570C4" w:rsidRPr="00E570C4" w14:paraId="58664C3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FB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A6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D2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12.835,00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A3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1.693,86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7C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13,20%</w:t>
            </w:r>
          </w:p>
        </w:tc>
      </w:tr>
      <w:tr w:rsidR="00E570C4" w:rsidRPr="00E570C4" w14:paraId="2D939F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80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F0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2C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77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1.693,86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A1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D6FDAB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EDD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571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DD3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9C3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3605B7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6D0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E7B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EC1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F23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C974EA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222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DD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B0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90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AE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EE7E1E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206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AC4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"Medni dan"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3BF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BEE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DD6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2C6024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207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DF6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C1F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3B3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6E5CBF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28E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37D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2A6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04C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906316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9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CA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4A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B6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36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B0C486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23B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CD2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Produženi boravak u osnovnoj školi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1FB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10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33.581,59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8EE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44,19%</w:t>
            </w:r>
          </w:p>
        </w:tc>
      </w:tr>
      <w:tr w:rsidR="00E570C4" w:rsidRPr="00E570C4" w14:paraId="744927C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3B9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E0C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6EC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29.838,08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73A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45,90%</w:t>
            </w:r>
          </w:p>
        </w:tc>
      </w:tr>
      <w:tr w:rsidR="00E570C4" w:rsidRPr="00E570C4" w14:paraId="3B5BE49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801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75C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F30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29.838,08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E35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45,90%</w:t>
            </w:r>
          </w:p>
        </w:tc>
      </w:tr>
      <w:tr w:rsidR="00E570C4" w:rsidRPr="00E570C4" w14:paraId="4A6425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EA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C7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1D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7A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29.741,12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0B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46,47%</w:t>
            </w:r>
          </w:p>
        </w:tc>
      </w:tr>
      <w:tr w:rsidR="00E570C4" w:rsidRPr="00E570C4" w14:paraId="3BE9BCB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98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90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8D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CE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23.930,43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B4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E4FBF5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6A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B1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3E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6F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1.862,16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88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E47A6B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FF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B6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76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90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3.948,53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23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A67B98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46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8C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C1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E3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96,96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1F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9,70%</w:t>
            </w:r>
          </w:p>
        </w:tc>
      </w:tr>
      <w:tr w:rsidR="00E570C4" w:rsidRPr="00E570C4" w14:paraId="7C1A84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53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44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F1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06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96,96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66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4D9465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432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2C4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CEB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3.743,51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208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34,03%</w:t>
            </w:r>
          </w:p>
        </w:tc>
      </w:tr>
      <w:tr w:rsidR="00E570C4" w:rsidRPr="00E570C4" w14:paraId="7FB677D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B3E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22E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0CA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3.743,51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37A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34,03%</w:t>
            </w:r>
          </w:p>
        </w:tc>
      </w:tr>
      <w:tr w:rsidR="00E570C4" w:rsidRPr="00E570C4" w14:paraId="36CCE8C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63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65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6B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D7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3.743,51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78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34,03%</w:t>
            </w:r>
          </w:p>
        </w:tc>
      </w:tr>
      <w:tr w:rsidR="00E570C4" w:rsidRPr="00E570C4" w14:paraId="27CB2B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0F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7E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23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6A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65,23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76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90FA2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CF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DB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2D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88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3.678,28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31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2C81A8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D84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T102010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FCD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"Pomoćnici u nastavi - faza VII"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D91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72.936,00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268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44.736,17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FFD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4DEBEA6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DB0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0D0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36.936,00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EA7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22.655,10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B29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6AE9395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C48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A19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36.936,00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268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22.655,10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64B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77BFF61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B2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12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8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35.842,00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8F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22.195,26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91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61,93%</w:t>
            </w:r>
          </w:p>
        </w:tc>
      </w:tr>
      <w:tr w:rsidR="00E570C4" w:rsidRPr="00E570C4" w14:paraId="1194924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E6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90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F89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39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18.008,40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61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7D69A2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98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EC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84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C4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1.215,40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05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6F8429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59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12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E2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86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2.971,46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4B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C21043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D3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D8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08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1.094,00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0E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459,84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E8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42,03%</w:t>
            </w:r>
          </w:p>
        </w:tc>
      </w:tr>
      <w:tr w:rsidR="00E570C4" w:rsidRPr="00E570C4" w14:paraId="3FBDA30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01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5E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B5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4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459,84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8F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14F189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301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C94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1B5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22.081,07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D4E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5F79209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EDC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37D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84E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3.312,15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F40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0F1B315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3F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EA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74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C0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3.244,92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CD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61,93%</w:t>
            </w:r>
          </w:p>
        </w:tc>
      </w:tr>
      <w:tr w:rsidR="00E570C4" w:rsidRPr="00E570C4" w14:paraId="69CEF97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7F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30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05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8F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2.632,81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95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4130DB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EF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33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223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D0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177,69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0C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25E7DF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40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CD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E6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B9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434,42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B5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0F3F22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1E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25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DD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60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6A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E570C4" w:rsidRPr="00E570C4" w14:paraId="500CFD2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BA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50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FE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B3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FD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A80DF0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995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7D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572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18.768,92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597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E570C4" w:rsidRPr="00E570C4" w14:paraId="643A962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53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2E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AD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29.694,00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9A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18.387,94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36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61,92%</w:t>
            </w:r>
          </w:p>
        </w:tc>
      </w:tr>
      <w:tr w:rsidR="00E570C4" w:rsidRPr="00E570C4" w14:paraId="2C6985B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AD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CF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68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EB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14.919,29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5B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F5CE3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6D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7E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BE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AF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1.006,91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A4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1C2143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E9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85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15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28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2.461,74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40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36967D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11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3E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3A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3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380,98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ED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42,05%</w:t>
            </w:r>
          </w:p>
        </w:tc>
      </w:tr>
      <w:tr w:rsidR="00E570C4" w:rsidRPr="00E570C4" w14:paraId="6B41ED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C1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EB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B9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D4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380,98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40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A45743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46BC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PROR. KORISNIK 08457 OSNOVNA ŠKOLA TRNOVITIČKI POPOVAC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F6B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848.850,16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C5F3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425.102,74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1CF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50,08%</w:t>
            </w:r>
          </w:p>
        </w:tc>
      </w:tr>
      <w:tr w:rsidR="00E570C4" w:rsidRPr="00E570C4" w14:paraId="340DC20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78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4A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51.440,00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F8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26.759,68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C5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52,02%</w:t>
            </w:r>
          </w:p>
        </w:tc>
      </w:tr>
      <w:tr w:rsidR="00E570C4" w:rsidRPr="00E570C4" w14:paraId="633E8C7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B6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26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51.440,00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09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26.759,68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D1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52,02%</w:t>
            </w:r>
          </w:p>
        </w:tc>
      </w:tr>
      <w:tr w:rsidR="00E570C4" w:rsidRPr="00E570C4" w14:paraId="6C0F4D4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25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F3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A8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4E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</w:p>
        </w:tc>
      </w:tr>
      <w:tr w:rsidR="00E570C4" w:rsidRPr="00E570C4" w14:paraId="2DE259E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C2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33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F1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F3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</w:p>
        </w:tc>
      </w:tr>
      <w:tr w:rsidR="00E570C4" w:rsidRPr="00E570C4" w14:paraId="76F252A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6FB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06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33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34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98ABC5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6E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F6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B6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A7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D487DB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DF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15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794.292,59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F2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394.727,57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A7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49,70%</w:t>
            </w:r>
          </w:p>
        </w:tc>
      </w:tr>
      <w:tr w:rsidR="00E570C4" w:rsidRPr="00E570C4" w14:paraId="4AD48BF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E3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F4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773.052,59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DF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380.024,25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B5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49,16%</w:t>
            </w:r>
          </w:p>
        </w:tc>
      </w:tr>
      <w:tr w:rsidR="00E570C4" w:rsidRPr="00E570C4" w14:paraId="54EC488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B6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6C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21.240,00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00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14.703,32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6C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69,22%</w:t>
            </w:r>
          </w:p>
        </w:tc>
      </w:tr>
      <w:tr w:rsidR="00E570C4" w:rsidRPr="00E570C4" w14:paraId="65BF46B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F3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1B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C6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64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7705E9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DB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42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90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8F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FDED9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EABC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4974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0F28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848.850,16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988E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425.102,74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A939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50,08%</w:t>
            </w:r>
          </w:p>
        </w:tc>
      </w:tr>
      <w:tr w:rsidR="00E570C4" w:rsidRPr="00E570C4" w14:paraId="14F2A82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022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4A8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Redovna djelatnost OŠ - decentralizirane funkcije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82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F7B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19.308,44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45A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51,77%</w:t>
            </w:r>
          </w:p>
        </w:tc>
      </w:tr>
      <w:tr w:rsidR="00E570C4" w:rsidRPr="00E570C4" w14:paraId="4D9BD07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97B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BBC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0DB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19.308,44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333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51,77%</w:t>
            </w:r>
          </w:p>
        </w:tc>
      </w:tr>
      <w:tr w:rsidR="00E570C4" w:rsidRPr="00E570C4" w14:paraId="08E1CDB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9E0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991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2AC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19.308,44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11A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51,77%</w:t>
            </w:r>
          </w:p>
        </w:tc>
      </w:tr>
      <w:tr w:rsidR="00E570C4" w:rsidRPr="00E570C4" w14:paraId="514CA24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79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9D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30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90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19.305,33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16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51,90%</w:t>
            </w:r>
          </w:p>
        </w:tc>
      </w:tr>
      <w:tr w:rsidR="00E570C4" w:rsidRPr="00E570C4" w14:paraId="3D5CB69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00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0F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C5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8C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1.815,91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55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B7004F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74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5B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90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48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07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8387AB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95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C3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66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77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3.197,98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8A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5E7FF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DC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5E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43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BD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317,04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8A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A25394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14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50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D0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A4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6.862,96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4C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7B23D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5F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F4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16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82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6C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0813A1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A5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22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63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D4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3C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6DFA5E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DB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96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86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A2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1.366,77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2C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C00752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4E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59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15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D0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360,86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1E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000102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AD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51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A8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C0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1.016,56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69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2111C9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E3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D0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C2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0C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232,26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B7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CB72A3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CC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85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83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9E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178,00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82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638FCB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61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78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0A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45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3F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AA40B5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8C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7E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4D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1A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1.959,20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16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F6A128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1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56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59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2D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979,54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87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0457C5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90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A9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45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A9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8B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0F1F77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7E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C3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47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7A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77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34B30E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10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87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FA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8F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F5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2780FC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04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A3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62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75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02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6,22%</w:t>
            </w:r>
          </w:p>
        </w:tc>
      </w:tr>
      <w:tr w:rsidR="00E570C4" w:rsidRPr="00E570C4" w14:paraId="5EA0B67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65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13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53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4D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85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6980F9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5BE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E1D0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Aktivnost: Redovna djelatnost OŠ - izvan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dec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.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CEE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721.434,57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979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353.451,81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539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48,99%</w:t>
            </w:r>
          </w:p>
        </w:tc>
      </w:tr>
      <w:tr w:rsidR="00E570C4" w:rsidRPr="00E570C4" w14:paraId="4BE852F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B20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940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98E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3.296,89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F78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25,66%</w:t>
            </w:r>
          </w:p>
        </w:tc>
      </w:tr>
      <w:tr w:rsidR="00E570C4" w:rsidRPr="00E570C4" w14:paraId="0004D41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45B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746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587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3.296,89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5A9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25,66%</w:t>
            </w:r>
          </w:p>
        </w:tc>
      </w:tr>
      <w:tr w:rsidR="00E570C4" w:rsidRPr="00E570C4" w14:paraId="5EEBC8C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63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79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BD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63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3.296,89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57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25,66%</w:t>
            </w:r>
          </w:p>
        </w:tc>
      </w:tr>
      <w:tr w:rsidR="00E570C4" w:rsidRPr="00E570C4" w14:paraId="0712089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97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D3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3E5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22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2.520,14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86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7F1E3F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9B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16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93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62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5A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503E2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80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8A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8B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D9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146,75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ED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EF0A47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85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8D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79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7B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5E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7D2CE3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311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BB6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64E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CB5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431BDF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EA9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4.2. Prihodi za posebne namjene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57E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220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2FD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F5020D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14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25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45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77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FC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8C567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9705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779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705.667,00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EFA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350.154,92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BD8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49,62%</w:t>
            </w:r>
          </w:p>
        </w:tc>
      </w:tr>
      <w:tr w:rsidR="00E570C4" w:rsidRPr="00E570C4" w14:paraId="2BC3DC0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557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AF1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705.667,00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988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350.154,92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A4F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49,62%</w:t>
            </w:r>
          </w:p>
        </w:tc>
      </w:tr>
      <w:tr w:rsidR="00E570C4" w:rsidRPr="00E570C4" w14:paraId="2BFC340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35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E0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E9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658.667,00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13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331.761,04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AC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50,37%</w:t>
            </w:r>
          </w:p>
        </w:tc>
      </w:tr>
      <w:tr w:rsidR="00E570C4" w:rsidRPr="00E570C4" w14:paraId="5930CEF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80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A9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74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2B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278.398,76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3D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B8732A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E2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63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A1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76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19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C943D2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E1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15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2C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E2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44.762,28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5F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59FF31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B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5E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A4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CF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18.259,08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9F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43,27%</w:t>
            </w:r>
          </w:p>
        </w:tc>
      </w:tr>
      <w:tr w:rsidR="00E570C4" w:rsidRPr="00E570C4" w14:paraId="455A29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A7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4E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41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AC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16.927,08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DD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1D7374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21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90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24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49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1.332,00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3D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60D63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E7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305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87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B4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FF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C48940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25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AB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7C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16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134,80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DF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44,93%</w:t>
            </w:r>
          </w:p>
        </w:tc>
      </w:tr>
      <w:tr w:rsidR="00E570C4" w:rsidRPr="00E570C4" w14:paraId="6A3E60A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90F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CF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74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CA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134,80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0E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35A0FA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EAE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5AB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E0E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E5E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700E39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857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4D3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FD2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8DC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7DCBD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E4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28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BD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B5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B1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CCC26A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DB7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A102009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0D7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Prehrana za učenike osnovnih škola osigurana iz sredstava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021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285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8.029,05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90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44,17%</w:t>
            </w:r>
          </w:p>
        </w:tc>
      </w:tr>
      <w:tr w:rsidR="00E570C4" w:rsidRPr="00E570C4" w14:paraId="2757C00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406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92B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626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8.029,05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302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44,17%</w:t>
            </w:r>
          </w:p>
        </w:tc>
      </w:tr>
      <w:tr w:rsidR="00E570C4" w:rsidRPr="00E570C4" w14:paraId="7E12BA0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ECF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BE8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A9F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8.029,05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3EA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44,17%</w:t>
            </w:r>
          </w:p>
        </w:tc>
      </w:tr>
      <w:tr w:rsidR="00E570C4" w:rsidRPr="00E570C4" w14:paraId="314FD97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2B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244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E2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54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8.029,05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00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44,17%</w:t>
            </w:r>
          </w:p>
        </w:tc>
      </w:tr>
      <w:tr w:rsidR="00E570C4" w:rsidRPr="00E570C4" w14:paraId="260A64C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9D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71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37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2A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8.029,05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72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17C5A6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992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K102004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60C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Opremanje OŠ (nabava knjiga i opreme) - decentralizirana sredstva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111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769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196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DAF9FC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4F1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235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9C7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6F9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060E3E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0CF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271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F8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375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05AE76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4C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78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48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12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E4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5D809B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C0E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K102005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95B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Kapitalni projekt: Opremanje OŠ (nabava knjiga i opreme) - izvan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dec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.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22E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9.140,00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4A9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627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39,56%</w:t>
            </w:r>
          </w:p>
        </w:tc>
      </w:tr>
      <w:tr w:rsidR="00E570C4" w:rsidRPr="00E570C4" w14:paraId="4C5103B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954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C19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3.940,00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5A0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81E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1EE615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789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111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3.940,00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614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902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D9B905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07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91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EE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3.940,00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5B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F9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134046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D38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365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594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A59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E570C4" w:rsidRPr="00E570C4" w14:paraId="4246192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907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698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738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812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E570C4" w:rsidRPr="00E570C4" w14:paraId="0CBB0CE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1D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8D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1E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E5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A4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570C4" w:rsidRPr="00E570C4" w14:paraId="40E0C0A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BA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3C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84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C0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3.615,49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72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E49BCA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A86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B93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374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053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46C0FB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7CF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98F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14D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172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E4334A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6C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7A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14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E0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28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00A917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7F3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4CF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AEA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7C4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9117E7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C36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8D6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BB4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7F7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28B6CC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9B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C8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58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D1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60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6F32AB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A9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1E3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"Medni dan"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EBF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3E0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D61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B6D2EC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AE2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727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2F7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9C9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F0C373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951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7E6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655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3F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0E27B7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1B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2B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42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A4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60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31D279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57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3EE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"Mala škola"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EF9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35C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6.581,32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DAD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63,28%</w:t>
            </w:r>
          </w:p>
        </w:tc>
      </w:tr>
      <w:tr w:rsidR="00E570C4" w:rsidRPr="00E570C4" w14:paraId="225F233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54A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533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E29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6.581,32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894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65,81%</w:t>
            </w:r>
          </w:p>
        </w:tc>
      </w:tr>
      <w:tr w:rsidR="00E570C4" w:rsidRPr="00E570C4" w14:paraId="55506B0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7389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3E9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C07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6.581,32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3B4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65,81%</w:t>
            </w:r>
          </w:p>
        </w:tc>
      </w:tr>
      <w:tr w:rsidR="00E570C4" w:rsidRPr="00E570C4" w14:paraId="2E060E9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17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05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91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C3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6.245,32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90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69,39%</w:t>
            </w:r>
          </w:p>
        </w:tc>
      </w:tr>
      <w:tr w:rsidR="00E570C4" w:rsidRPr="00E570C4" w14:paraId="31A95F0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97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3C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D2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1C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5.274,95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F0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7C6960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27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BD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B0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ED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7A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0F4B1B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46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B2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25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14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870,37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16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81035B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95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6C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41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49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9F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33,60%</w:t>
            </w:r>
          </w:p>
        </w:tc>
      </w:tr>
      <w:tr w:rsidR="00E570C4" w:rsidRPr="00E570C4" w14:paraId="7C4C8C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601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10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FB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4A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336,00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9D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6C18A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D5E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FBF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EB3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A6D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9F2768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A39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828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44F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B0F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51078A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6B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E3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02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2AC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F5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AECA97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208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08C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Školska shema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F90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E9C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781,46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5C9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82,26%</w:t>
            </w:r>
          </w:p>
        </w:tc>
      </w:tr>
      <w:tr w:rsidR="00E570C4" w:rsidRPr="00E570C4" w14:paraId="7498F13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D4E4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01D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D99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781,46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C98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82,26%</w:t>
            </w:r>
          </w:p>
        </w:tc>
      </w:tr>
      <w:tr w:rsidR="00E570C4" w:rsidRPr="00E570C4" w14:paraId="3CBACAC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BC8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E06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7DB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19D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58,01%</w:t>
            </w:r>
          </w:p>
        </w:tc>
      </w:tr>
      <w:tr w:rsidR="00E570C4" w:rsidRPr="00E570C4" w14:paraId="2D7B0AD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6A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E0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00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4C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5A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58,01%</w:t>
            </w:r>
          </w:p>
        </w:tc>
      </w:tr>
      <w:tr w:rsidR="00E570C4" w:rsidRPr="00E570C4" w14:paraId="6D23663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C8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78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A9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47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63,81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C7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D9314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565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40D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7BF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717,65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1D5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85,43%</w:t>
            </w:r>
          </w:p>
        </w:tc>
      </w:tr>
      <w:tr w:rsidR="00E570C4" w:rsidRPr="00E570C4" w14:paraId="635509F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5D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A0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F7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28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717,65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14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85,43%</w:t>
            </w:r>
          </w:p>
        </w:tc>
      </w:tr>
      <w:tr w:rsidR="00E570C4" w:rsidRPr="00E570C4" w14:paraId="7F5A95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AB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1A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25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95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717,65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43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0D8C1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E92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T102010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F5A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Tekući projekt: "Pomoćnici u nastavi - faza VII"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DB8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48.650,00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722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33.335,17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22B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68,52%</w:t>
            </w:r>
          </w:p>
        </w:tc>
      </w:tr>
      <w:tr w:rsidR="00E570C4" w:rsidRPr="00E570C4" w14:paraId="47F5FF9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45F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798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24.650,00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D0B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16.881,47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C39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68,48%</w:t>
            </w:r>
          </w:p>
        </w:tc>
      </w:tr>
      <w:tr w:rsidR="00E570C4" w:rsidRPr="00E570C4" w14:paraId="6489637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C4B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21E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24.650,00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6A4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16.881,47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0C1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68,48%</w:t>
            </w:r>
          </w:p>
        </w:tc>
      </w:tr>
      <w:tr w:rsidR="00E570C4" w:rsidRPr="00E570C4" w14:paraId="1B68EE9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AE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3D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68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23.310,00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0C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16.155,57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34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69,31%</w:t>
            </w:r>
          </w:p>
        </w:tc>
      </w:tr>
      <w:tr w:rsidR="00E570C4" w:rsidRPr="00E570C4" w14:paraId="52E5AC5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61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EA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5D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B1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13.171,91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73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A64BA8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13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2D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92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A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810,27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B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3D657A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B11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EC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AF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69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2.173,39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B9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139635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8B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9F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8B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6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725,90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64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54,17%</w:t>
            </w:r>
          </w:p>
        </w:tc>
      </w:tr>
      <w:tr w:rsidR="00E570C4" w:rsidRPr="00E570C4" w14:paraId="247F08A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52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C9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B3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D4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725,90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A3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AE5DFF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B5D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06C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AC4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16.453,70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E35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68,56%</w:t>
            </w:r>
          </w:p>
        </w:tc>
      </w:tr>
      <w:tr w:rsidR="00E570C4" w:rsidRPr="00E570C4" w14:paraId="7EDD604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ED2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631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60C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2.468,03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55C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68,56%</w:t>
            </w:r>
          </w:p>
        </w:tc>
      </w:tr>
      <w:tr w:rsidR="00E570C4" w:rsidRPr="00E570C4" w14:paraId="05FE9A8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34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08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C1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3.390,00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00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2.361,92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61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69,67%</w:t>
            </w:r>
          </w:p>
        </w:tc>
      </w:tr>
      <w:tr w:rsidR="00E570C4" w:rsidRPr="00E570C4" w14:paraId="0C907BF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37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A9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BC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2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1.925,70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E5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9C8A0B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9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CC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28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5C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118,45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35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B71572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2B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74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1A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A5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317,77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3F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8734B2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7B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41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03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1F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106,11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61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50,53%</w:t>
            </w:r>
          </w:p>
        </w:tc>
      </w:tr>
      <w:tr w:rsidR="00E570C4" w:rsidRPr="00E570C4" w14:paraId="16736E1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FF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B1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91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D8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106,11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49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1FFFB0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3FA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D4C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B7F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13.985,67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368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68,56%</w:t>
            </w:r>
          </w:p>
        </w:tc>
      </w:tr>
      <w:tr w:rsidR="00E570C4" w:rsidRPr="00E570C4" w14:paraId="4588FC4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51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1A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AA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69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13.384,25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6D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69,35%</w:t>
            </w:r>
          </w:p>
        </w:tc>
      </w:tr>
      <w:tr w:rsidR="00E570C4" w:rsidRPr="00E570C4" w14:paraId="5DFA311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7C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97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C00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B1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10.912,39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D5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57C3AB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64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82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6E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86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671,28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88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341418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FA4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95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52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B6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1.800,58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01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455F48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1D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42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B3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69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601,42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E9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54,67%</w:t>
            </w:r>
          </w:p>
        </w:tc>
      </w:tr>
      <w:tr w:rsidR="00E570C4" w:rsidRPr="00E570C4" w14:paraId="2AE697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E5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34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F0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8C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601,42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6F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BD595E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D83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 003 UPRAVNI ODJEL ZA FINANCIJE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994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828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43B7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3757F19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E39C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00301 UPRAVNI ODJEL ZA FINANCIJE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E0F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7C3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49FC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7FD4614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15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0A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34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73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30ED547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69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36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D6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7F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3A79AD5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CDFD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00001 UPRAVNI ODJEL ZA FINANCIJE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7188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8CB4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0268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335B11B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05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75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E6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DE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1827CD7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A5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25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08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30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500C278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030B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DF03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Priprema i donošenje akata iz djelokruga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9919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633B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135.048,31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F347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40,52%</w:t>
            </w:r>
          </w:p>
        </w:tc>
      </w:tr>
      <w:tr w:rsidR="00E570C4" w:rsidRPr="00E570C4" w14:paraId="301769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4B7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A102101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29E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upravnog odjela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2AC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128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126.448,87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875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46,10%</w:t>
            </w:r>
          </w:p>
        </w:tc>
      </w:tr>
      <w:tr w:rsidR="00E570C4" w:rsidRPr="00E570C4" w14:paraId="4FBD661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AE2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BAB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274.300,00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32C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126.448,87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5B3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46,10%</w:t>
            </w:r>
          </w:p>
        </w:tc>
      </w:tr>
      <w:tr w:rsidR="00E570C4" w:rsidRPr="00E570C4" w14:paraId="02642BC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38D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74F7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274.300,00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099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126.448,87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6DE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46,10%</w:t>
            </w:r>
          </w:p>
        </w:tc>
      </w:tr>
      <w:tr w:rsidR="00E570C4" w:rsidRPr="00E570C4" w14:paraId="02FCC3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FC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B0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3E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67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74.624,41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A5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46,93%</w:t>
            </w:r>
          </w:p>
        </w:tc>
      </w:tr>
      <w:tr w:rsidR="00E570C4" w:rsidRPr="00E570C4" w14:paraId="19CA94F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A2F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2A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7F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F9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64.718,01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93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07F28D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BEA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7D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B0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02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9.906,40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60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C6ACEA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AB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92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DA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D1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46.985,40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17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44,75%</w:t>
            </w:r>
          </w:p>
        </w:tc>
      </w:tr>
      <w:tr w:rsidR="00E570C4" w:rsidRPr="00E570C4" w14:paraId="0EAF416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17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3C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BE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CE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1.336,76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A5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C03AA2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04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70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47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8B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3FF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74508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F9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DC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61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B8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7.526,34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F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8B770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0F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AA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39D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E7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23.996,11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84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87F29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D2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85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89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46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13.700,69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20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93ED4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5E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57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9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1D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4.839,06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D3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46,98%</w:t>
            </w:r>
          </w:p>
        </w:tc>
      </w:tr>
      <w:tr w:rsidR="00E570C4" w:rsidRPr="00E570C4" w14:paraId="1C7CE4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7A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66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22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E1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4.755,12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AA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0D4065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64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3433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72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C7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74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83,94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01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E6B685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3BF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A102102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6A0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Zaduživanje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36B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B92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8.599,44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D62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15,09%</w:t>
            </w:r>
          </w:p>
        </w:tc>
      </w:tr>
      <w:tr w:rsidR="00E570C4" w:rsidRPr="00E570C4" w14:paraId="52D8B8F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F6B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6DA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A20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8.599,44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5DD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15,09%</w:t>
            </w:r>
          </w:p>
        </w:tc>
      </w:tr>
      <w:tr w:rsidR="00E570C4" w:rsidRPr="00E570C4" w14:paraId="64F913B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D4A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B32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B61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8.599,44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0A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15,09%</w:t>
            </w:r>
          </w:p>
        </w:tc>
      </w:tr>
      <w:tr w:rsidR="00E570C4" w:rsidRPr="00E570C4" w14:paraId="55EBD7E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515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16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A1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DF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8.599,44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F5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23,24%</w:t>
            </w:r>
          </w:p>
        </w:tc>
      </w:tr>
      <w:tr w:rsidR="00E570C4" w:rsidRPr="00E570C4" w14:paraId="28695FC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1F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1B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39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56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3.971,33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F3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C7BED3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5F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2F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D8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4E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4.628,11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C4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B629D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09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F7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06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81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AD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52AF4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08C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K102101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AF1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Razvoj sustava lokalne riznice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DB8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173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77C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70142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AFA2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C5F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2F7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DD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D21E1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B5F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20F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27B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31F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465994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EA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4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82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55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57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FEF89E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B5BC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 004 UPRAVNI ODJEL ZA GOSPODARSTVO I KOMUNALNI SUSTAV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0637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7.942.064,43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8C46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1.417.619,61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673F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17,85%</w:t>
            </w:r>
          </w:p>
        </w:tc>
      </w:tr>
      <w:tr w:rsidR="00E570C4" w:rsidRPr="00E570C4" w14:paraId="2C17315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8918D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GLAVA 00401 UPRAVNI ODJEL ZA GOSPODARSTVO I KOMUNALNI SUSTAV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AA8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7.942.064,43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BF5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1.417.619,61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965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17,85%</w:t>
            </w:r>
          </w:p>
        </w:tc>
      </w:tr>
      <w:tr w:rsidR="00E570C4" w:rsidRPr="00E570C4" w14:paraId="5E8C135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DB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8D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1.233.690,40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32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403.484,19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B1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32,71%</w:t>
            </w:r>
          </w:p>
        </w:tc>
      </w:tr>
      <w:tr w:rsidR="00E570C4" w:rsidRPr="00E570C4" w14:paraId="46E7DA7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79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3B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1.233.690,40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81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403.484,19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C9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32,71%</w:t>
            </w:r>
          </w:p>
        </w:tc>
      </w:tr>
      <w:tr w:rsidR="00E570C4" w:rsidRPr="00E570C4" w14:paraId="65E52B6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3A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7F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86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1F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5041637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FE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F6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F7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42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02669DC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82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2F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1.081.900,66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94C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387.108,95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39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35,78%</w:t>
            </w:r>
          </w:p>
        </w:tc>
      </w:tr>
      <w:tr w:rsidR="00E570C4" w:rsidRPr="00E570C4" w14:paraId="0583D7D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9D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AE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1.081.900,66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34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387.108,95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7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35,78%</w:t>
            </w:r>
          </w:p>
        </w:tc>
      </w:tr>
      <w:tr w:rsidR="00E570C4" w:rsidRPr="00E570C4" w14:paraId="7F91393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88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ED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975.554,00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55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261.237,00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8E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26,78%</w:t>
            </w:r>
          </w:p>
        </w:tc>
      </w:tr>
      <w:tr w:rsidR="00E570C4" w:rsidRPr="00E570C4" w14:paraId="036305F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D4B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38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D6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3C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6665CD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EF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B8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389.652,00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44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23.406,25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44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6,01%</w:t>
            </w:r>
          </w:p>
        </w:tc>
      </w:tr>
      <w:tr w:rsidR="00E570C4" w:rsidRPr="00E570C4" w14:paraId="3F9C2A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74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74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310.577,00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60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237.830,75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CC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76,58%</w:t>
            </w:r>
          </w:p>
        </w:tc>
      </w:tr>
      <w:tr w:rsidR="00E570C4" w:rsidRPr="00E570C4" w14:paraId="069B246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63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31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32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52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A1567F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E0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FC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9.325,00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F2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90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53D096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DE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91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1.956.492,87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9C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8.465,11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17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0,43%</w:t>
            </w:r>
          </w:p>
        </w:tc>
      </w:tr>
      <w:tr w:rsidR="00E570C4" w:rsidRPr="00E570C4" w14:paraId="699572C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48A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E3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1.956.492,87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4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8.465,11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86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0,43%</w:t>
            </w:r>
          </w:p>
        </w:tc>
      </w:tr>
      <w:tr w:rsidR="00E570C4" w:rsidRPr="00E570C4" w14:paraId="1CB5F54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54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3D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2.634.426,50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B1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356.383,57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01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13,53%</w:t>
            </w:r>
          </w:p>
        </w:tc>
      </w:tr>
      <w:tr w:rsidR="00E570C4" w:rsidRPr="00E570C4" w14:paraId="65D7D3B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4B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D1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2.634.426,50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6E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356.383,57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D4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13,53%</w:t>
            </w:r>
          </w:p>
        </w:tc>
      </w:tr>
      <w:tr w:rsidR="00E570C4" w:rsidRPr="00E570C4" w14:paraId="4134A77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E1A7A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PROR. KORISNIK 00001 UPRAVNI ODJEL ZA GOSPODARSTVO I KOMUNALNI SUSTAV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E8EC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7.942.064,43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EBD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1.417.619,61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5991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17,85%</w:t>
            </w:r>
          </w:p>
        </w:tc>
      </w:tr>
      <w:tr w:rsidR="00E570C4" w:rsidRPr="00E570C4" w14:paraId="7A6541D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D2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DC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1.233.690,40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38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403.484,19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61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32,71%</w:t>
            </w:r>
          </w:p>
        </w:tc>
      </w:tr>
      <w:tr w:rsidR="00E570C4" w:rsidRPr="00E570C4" w14:paraId="085D4E6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660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69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1.233.690,40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DB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403.484,19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B4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32,71%</w:t>
            </w:r>
          </w:p>
        </w:tc>
      </w:tr>
      <w:tr w:rsidR="00E570C4" w:rsidRPr="00E570C4" w14:paraId="1005190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E7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74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91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97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30FC54D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97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3B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61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F7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45711BD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89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32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1.081.900,66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AC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387.108,95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BC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35,78%</w:t>
            </w:r>
          </w:p>
        </w:tc>
      </w:tr>
      <w:tr w:rsidR="00E570C4" w:rsidRPr="00E570C4" w14:paraId="2E2DE96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26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83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1.081.900,66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25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387.108,95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82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35,78%</w:t>
            </w:r>
          </w:p>
        </w:tc>
      </w:tr>
      <w:tr w:rsidR="00E570C4" w:rsidRPr="00E570C4" w14:paraId="038F56E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D0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BF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975.554,00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A6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261.237,00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31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26,78%</w:t>
            </w:r>
          </w:p>
        </w:tc>
      </w:tr>
      <w:tr w:rsidR="00E570C4" w:rsidRPr="00E570C4" w14:paraId="69BFF74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AC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6E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DE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8B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4B0F36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8C7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lastRenderedPageBreak/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46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389.652,00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74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23.406,25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AE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6,01%</w:t>
            </w:r>
          </w:p>
        </w:tc>
      </w:tr>
      <w:tr w:rsidR="00E570C4" w:rsidRPr="00E570C4" w14:paraId="4EEFAEA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77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96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310.577,00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6F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237.830,75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BE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76,58%</w:t>
            </w:r>
          </w:p>
        </w:tc>
      </w:tr>
      <w:tr w:rsidR="00E570C4" w:rsidRPr="00E570C4" w14:paraId="2279847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C6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DB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96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37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ED42FE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AF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5F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9.325,00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63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E8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75BFCB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44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9F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1.956.492,87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E5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8.465,11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C7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0,43%</w:t>
            </w:r>
          </w:p>
        </w:tc>
      </w:tr>
      <w:tr w:rsidR="00E570C4" w:rsidRPr="00E570C4" w14:paraId="131BA78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AE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6A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1.956.492,87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00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8.465,11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F9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0,43%</w:t>
            </w:r>
          </w:p>
        </w:tc>
      </w:tr>
      <w:tr w:rsidR="00E570C4" w:rsidRPr="00E570C4" w14:paraId="65DF989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2C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F7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2.634.426,50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3E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356.383,57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21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13,53%</w:t>
            </w:r>
          </w:p>
        </w:tc>
      </w:tr>
      <w:tr w:rsidR="00E570C4" w:rsidRPr="00E570C4" w14:paraId="6F8E2BD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CA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85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2.634.426,50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C8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356.383,57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9E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color w:val="333333"/>
                <w:sz w:val="20"/>
                <w:szCs w:val="20"/>
                <w:lang w:eastAsia="hr-HR"/>
              </w:rPr>
              <w:t>13,53%</w:t>
            </w:r>
          </w:p>
        </w:tc>
      </w:tr>
      <w:tr w:rsidR="00E570C4" w:rsidRPr="00E570C4" w14:paraId="1264C8C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3500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5EDC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Priprema i donošenje akata iz djelokruga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3902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1.305.900,00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3027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553.463,63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66BC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42,38%</w:t>
            </w:r>
          </w:p>
        </w:tc>
      </w:tr>
      <w:tr w:rsidR="00E570C4" w:rsidRPr="00E570C4" w14:paraId="27BA81F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753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A100301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50E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Redovan rad upravnog tijela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0A4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4DF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303.788,46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577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27A6159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81E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231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4E0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303.788,46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19B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3A4C50C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63F5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869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611.500,00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B35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303.788,46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471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49,68%</w:t>
            </w:r>
          </w:p>
        </w:tc>
      </w:tr>
      <w:tr w:rsidR="00E570C4" w:rsidRPr="00E570C4" w14:paraId="427E9B9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AD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961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9D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04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112.198,42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27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44,52%</w:t>
            </w:r>
          </w:p>
        </w:tc>
      </w:tr>
      <w:tr w:rsidR="00E570C4" w:rsidRPr="00E570C4" w14:paraId="6E0EF69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F8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72E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9BA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1A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96.307,64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DE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8BFFA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3A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CD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037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BA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15.890,78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8C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D5C0F1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DE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29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08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77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191.590,04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2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53,29%</w:t>
            </w:r>
          </w:p>
        </w:tc>
      </w:tr>
      <w:tr w:rsidR="00E570C4" w:rsidRPr="00E570C4" w14:paraId="567153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00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5C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0D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F3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2D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90E0CF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62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1A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A3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AE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1.126,73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87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038CE9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6D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CE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F3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97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896,25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89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6C9885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32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09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89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40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49.978,06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63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4AA0D6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5A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92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4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01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13.417,91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2C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E5BF3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B4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BBD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80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79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12.763,08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D6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21C808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A0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375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496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2E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108.819,50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A5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E87F4B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76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C7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6E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12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2.217,71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6E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0295DC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34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43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21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EC6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2.265,35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76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11421C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F2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32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75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D8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C4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26C45E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05B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A100302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B5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građevinskih objekata za redovno korištenje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DAE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276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21.795,62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762F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14,43%</w:t>
            </w:r>
          </w:p>
        </w:tc>
      </w:tr>
      <w:tr w:rsidR="00E570C4" w:rsidRPr="00E570C4" w14:paraId="4D46E86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223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6FB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ACA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20.854,83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64F2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23,17%</w:t>
            </w:r>
          </w:p>
        </w:tc>
      </w:tr>
      <w:tr w:rsidR="00E570C4" w:rsidRPr="00E570C4" w14:paraId="2FB14E7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E86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975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4C3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20.854,83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A84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23,17%</w:t>
            </w:r>
          </w:p>
        </w:tc>
      </w:tr>
      <w:tr w:rsidR="00E570C4" w:rsidRPr="00E570C4" w14:paraId="450C740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449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C17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30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8C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20.854,83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6D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23,17%</w:t>
            </w:r>
          </w:p>
        </w:tc>
      </w:tr>
      <w:tr w:rsidR="00E570C4" w:rsidRPr="00E570C4" w14:paraId="3B3050A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DA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D6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6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D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9.489,13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04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271461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A8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9E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51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81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11.365,70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5D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472F6D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B61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761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0E9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01A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3B8B9B1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503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489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F09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D3B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5323107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5C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71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6D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ED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B9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1,57%</w:t>
            </w:r>
          </w:p>
        </w:tc>
      </w:tr>
      <w:tr w:rsidR="00E570C4" w:rsidRPr="00E570C4" w14:paraId="4A8BF5F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C5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CD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035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0C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940,79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BA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A5D7B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8E41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255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1AD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A08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53C452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059A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BFF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7EB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FB8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DDEEF0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92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C9B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72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16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A0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975E09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3D14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A100303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F86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opreme za redovno korištenje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803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CD6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2.771,88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7C8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17,32%</w:t>
            </w:r>
          </w:p>
        </w:tc>
      </w:tr>
      <w:tr w:rsidR="00E570C4" w:rsidRPr="00E570C4" w14:paraId="37D83D0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5644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5FC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B21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2.771,88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C90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17,32%</w:t>
            </w:r>
          </w:p>
        </w:tc>
      </w:tr>
      <w:tr w:rsidR="00E570C4" w:rsidRPr="00E570C4" w14:paraId="640579B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933B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0EF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F33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2.771,88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945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17,32%</w:t>
            </w:r>
          </w:p>
        </w:tc>
      </w:tr>
      <w:tr w:rsidR="00E570C4" w:rsidRPr="00E570C4" w14:paraId="32FC65C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41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E6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52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68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2.771,88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05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17,32%</w:t>
            </w:r>
          </w:p>
        </w:tc>
      </w:tr>
      <w:tr w:rsidR="00E570C4" w:rsidRPr="00E570C4" w14:paraId="55E77A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39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37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35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70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250,73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08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987D09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86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45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59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B2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2.521,15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3C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4B7162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992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A100305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5308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Higijeničarska služba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468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01A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10.437,36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D0F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38,66%</w:t>
            </w:r>
          </w:p>
        </w:tc>
      </w:tr>
      <w:tr w:rsidR="00E570C4" w:rsidRPr="00E570C4" w14:paraId="7BEB9D3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AF5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79D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072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10.437,36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2B5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38,66%</w:t>
            </w:r>
          </w:p>
        </w:tc>
      </w:tr>
      <w:tr w:rsidR="00E570C4" w:rsidRPr="00E570C4" w14:paraId="10B891F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BF6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739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418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10.437,36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A3B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38,66%</w:t>
            </w:r>
          </w:p>
        </w:tc>
      </w:tr>
      <w:tr w:rsidR="00E570C4" w:rsidRPr="00E570C4" w14:paraId="23FBC6F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42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57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8B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91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9.358,26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53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38,99%</w:t>
            </w:r>
          </w:p>
        </w:tc>
      </w:tr>
      <w:tr w:rsidR="00E570C4" w:rsidRPr="00E570C4" w14:paraId="6E7F4BC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2A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86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56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92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9.358,26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87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73AC49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3E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B3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4C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59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1.079,10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42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35,97%</w:t>
            </w:r>
          </w:p>
        </w:tc>
      </w:tr>
      <w:tr w:rsidR="00E570C4" w:rsidRPr="00E570C4" w14:paraId="189CE0D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FD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0C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080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39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1.079,10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77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9FEE3A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AF1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A100306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D47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Izmjera poljoprivrednog zemljišta i sređivanje zemljišnih knjiga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334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FDD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69C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D76EE1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0CB4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30B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089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B08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EFD08D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8CD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F35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A773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CB5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1546FE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DB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65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6F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9E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CB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C0B8FB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5A1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A100308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F2E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Zimska služba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B94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D40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E4C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33,74%</w:t>
            </w:r>
          </w:p>
        </w:tc>
      </w:tr>
      <w:tr w:rsidR="00E570C4" w:rsidRPr="00E570C4" w14:paraId="0CC0F1F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55F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06F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4FB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FA0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33,74%</w:t>
            </w:r>
          </w:p>
        </w:tc>
      </w:tr>
      <w:tr w:rsidR="00E570C4" w:rsidRPr="00E570C4" w14:paraId="6DA05DC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039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14F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A4D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450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33,74%</w:t>
            </w:r>
          </w:p>
        </w:tc>
      </w:tr>
      <w:tr w:rsidR="00E570C4" w:rsidRPr="00E570C4" w14:paraId="3E75426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37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BB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C0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E7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60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33,74%</w:t>
            </w:r>
          </w:p>
        </w:tc>
      </w:tr>
      <w:tr w:rsidR="00E570C4" w:rsidRPr="00E570C4" w14:paraId="51B6269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6F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86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47E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87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47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960EC8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284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F19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Nabava opreme i vozila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E3F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C52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16.253,38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1E6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15,93%</w:t>
            </w:r>
          </w:p>
        </w:tc>
      </w:tr>
      <w:tr w:rsidR="00E570C4" w:rsidRPr="00E570C4" w14:paraId="42FE8EF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F2B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4C2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1B9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16.253,38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B5A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15,93%</w:t>
            </w:r>
          </w:p>
        </w:tc>
      </w:tr>
      <w:tr w:rsidR="00E570C4" w:rsidRPr="00E570C4" w14:paraId="3C8FC43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E88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F8F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C43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16.253,38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2D0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15,93%</w:t>
            </w:r>
          </w:p>
        </w:tc>
      </w:tr>
      <w:tr w:rsidR="00E570C4" w:rsidRPr="00E570C4" w14:paraId="5E09E0B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84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0C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B3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E5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2.235,81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D8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44,72%</w:t>
            </w:r>
          </w:p>
        </w:tc>
      </w:tr>
      <w:tr w:rsidR="00E570C4" w:rsidRPr="00E570C4" w14:paraId="362BFC5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8C7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61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F8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75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2.235,81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D75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7D35CE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B0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E9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7E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59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14.017,57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EB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14,45%</w:t>
            </w:r>
          </w:p>
        </w:tc>
      </w:tr>
      <w:tr w:rsidR="00E570C4" w:rsidRPr="00E570C4" w14:paraId="40F268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BA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27F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BC6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64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2.116,57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CB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76A46D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ED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B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58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CA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11.901,00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DD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E50EF1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D68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0E6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Izgradnja i dodatna ulaganja na građevinskim objektima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313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D21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2.215,11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B86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4,03%</w:t>
            </w:r>
          </w:p>
        </w:tc>
      </w:tr>
      <w:tr w:rsidR="00E570C4" w:rsidRPr="00E570C4" w14:paraId="36D1C43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0873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119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D1A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C8C5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8CE6C0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088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F7A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A4A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724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62CFD1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53C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260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7B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ED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36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17D8A2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5A9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861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BA0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2.215,11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5AB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4,43%</w:t>
            </w:r>
          </w:p>
        </w:tc>
      </w:tr>
      <w:tr w:rsidR="00E570C4" w:rsidRPr="00E570C4" w14:paraId="286B374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9E5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4E4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5DC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2.215,11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AEE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4,43%</w:t>
            </w:r>
          </w:p>
        </w:tc>
      </w:tr>
      <w:tr w:rsidR="00E570C4" w:rsidRPr="00E570C4" w14:paraId="36F5281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98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40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92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F0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2.215,11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24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4,43%</w:t>
            </w:r>
          </w:p>
        </w:tc>
      </w:tr>
      <w:tr w:rsidR="00E570C4" w:rsidRPr="00E570C4" w14:paraId="1D2BA5C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C0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35B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B2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5B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2.215,11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3E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B425B8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B8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D09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Izrada ostale projektne dokumentacije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838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95C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B1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14,53%</w:t>
            </w:r>
          </w:p>
        </w:tc>
      </w:tr>
      <w:tr w:rsidR="00E570C4" w:rsidRPr="00E570C4" w14:paraId="36F8BD4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E28F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6DD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EB3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7CC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A22C43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2EA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933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5CB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7EF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490420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7D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19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AF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70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EF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15A261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22F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419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265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A22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FDADFD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45D4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A6E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E47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8C0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392CE8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65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67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D2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2A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5F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BBED08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90B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053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C1E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234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31,25%</w:t>
            </w:r>
          </w:p>
        </w:tc>
      </w:tr>
      <w:tr w:rsidR="00E570C4" w:rsidRPr="00E570C4" w14:paraId="5F3F14B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324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427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E85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F7D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31,25%</w:t>
            </w:r>
          </w:p>
        </w:tc>
      </w:tr>
      <w:tr w:rsidR="00E570C4" w:rsidRPr="00E570C4" w14:paraId="236A960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70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49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D0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89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AA1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31,25%</w:t>
            </w:r>
          </w:p>
        </w:tc>
      </w:tr>
      <w:tr w:rsidR="00E570C4" w:rsidRPr="00E570C4" w14:paraId="26C6136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B54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238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Ostala nematerijalna proizvedena imovina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0D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97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9B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50727F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24C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DEE0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Izrada prostornih planova nove generacije -  "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ePlanovi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132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835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0CD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32,35%</w:t>
            </w:r>
          </w:p>
        </w:tc>
      </w:tr>
      <w:tr w:rsidR="00E570C4" w:rsidRPr="00E570C4" w14:paraId="0E43DF4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50A1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018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A57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4BA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4EC2D7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956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081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871D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44C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0CF62D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58D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20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13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2E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0B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089307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E98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D8F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9B1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CBD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36,67%</w:t>
            </w:r>
          </w:p>
        </w:tc>
      </w:tr>
      <w:tr w:rsidR="00E570C4" w:rsidRPr="00E570C4" w14:paraId="0A036E7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62A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03A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F4D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156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36,67%</w:t>
            </w:r>
          </w:p>
        </w:tc>
      </w:tr>
      <w:tr w:rsidR="00E570C4" w:rsidRPr="00E570C4" w14:paraId="6716E53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04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7A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29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29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DC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36,67%</w:t>
            </w:r>
          </w:p>
        </w:tc>
      </w:tr>
      <w:tr w:rsidR="00E570C4" w:rsidRPr="00E570C4" w14:paraId="712C96A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46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4E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72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8D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CD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ADBDD5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BA88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C4D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Katastarska izmjera Grada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9C2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E7B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0E9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3D1C57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7A9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CCA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5095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49D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06FCC2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153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D81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EC2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691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F98070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BF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2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FD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20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02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B0242C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2A7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K100319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471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Izgradnja Parka za pse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2CA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35D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162.451,82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9A8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79,63%</w:t>
            </w:r>
          </w:p>
        </w:tc>
      </w:tr>
      <w:tr w:rsidR="00E570C4" w:rsidRPr="00E570C4" w14:paraId="2738011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956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8C7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30.577,00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DCA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12.830,75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287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41,96%</w:t>
            </w:r>
          </w:p>
        </w:tc>
      </w:tr>
      <w:tr w:rsidR="00E570C4" w:rsidRPr="00E570C4" w14:paraId="2CCFDA7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DF4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FCD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30.577,00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E61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12.830,75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2FF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41,96%</w:t>
            </w:r>
          </w:p>
        </w:tc>
      </w:tr>
      <w:tr w:rsidR="00E570C4" w:rsidRPr="00E570C4" w14:paraId="1D2140A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05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E30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83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30.577,00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62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12.830,75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F4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41,96%</w:t>
            </w:r>
          </w:p>
        </w:tc>
      </w:tr>
      <w:tr w:rsidR="00E570C4" w:rsidRPr="00E570C4" w14:paraId="35E2DD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AD6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F9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F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6B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C4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05EF8C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D7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47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Višegodišnji nasadi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CA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D9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1.030,75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EC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F50ED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A0D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319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173.423,00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F34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149.621,07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FD1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86,28%</w:t>
            </w:r>
          </w:p>
        </w:tc>
      </w:tr>
      <w:tr w:rsidR="00E570C4" w:rsidRPr="00E570C4" w14:paraId="063CFA3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7529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7D7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173.423,00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FEF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149.621,07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A56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86,28%</w:t>
            </w:r>
          </w:p>
        </w:tc>
      </w:tr>
      <w:tr w:rsidR="00E570C4" w:rsidRPr="00E570C4" w14:paraId="4A26D7F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5DC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A6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7B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173.423,00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96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149.621,07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D4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86,28%</w:t>
            </w:r>
          </w:p>
        </w:tc>
      </w:tr>
      <w:tr w:rsidR="00E570C4" w:rsidRPr="00E570C4" w14:paraId="437364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1B9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54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10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F9F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73.465,88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89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E64B8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46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F0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92C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4A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50.322,19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E7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75D3E6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3CC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A1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Višegodišnji nasadi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53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643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25.833,00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506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186B80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2F3F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9741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Zaštita okoliša i prirode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B295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1.917.578,50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2F61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257.773,46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CE470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13,44%</w:t>
            </w:r>
          </w:p>
        </w:tc>
      </w:tr>
      <w:tr w:rsidR="00E570C4" w:rsidRPr="00E570C4" w14:paraId="045AF8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7C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A100402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198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Energetski certifikat gradskih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B9F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AC1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55C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79233F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F8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583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C5D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24D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2E619F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036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875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F66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F56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FFE1CD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D8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9B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AF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88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4D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4A01EC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B8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A100405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AAA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Sanacija divljih odlagališta i zapuštenih okućnica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562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BAD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A45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471E92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A31E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860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342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996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DC7C4D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A6B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836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DC8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824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27C1F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C1E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90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49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D8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23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9966DC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54C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A100406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6AE7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Deratizacija i dezinsekcija javnih površina i napuštenih okućnica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EEA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906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14.941,06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46E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42,69%</w:t>
            </w:r>
          </w:p>
        </w:tc>
      </w:tr>
      <w:tr w:rsidR="00E570C4" w:rsidRPr="00E570C4" w14:paraId="657D8BF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D83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B49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419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14.941,06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399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42,69%</w:t>
            </w:r>
          </w:p>
        </w:tc>
      </w:tr>
      <w:tr w:rsidR="00E570C4" w:rsidRPr="00E570C4" w14:paraId="7D513ED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F97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CB9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E4F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14.941,06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7B9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42,69%</w:t>
            </w:r>
          </w:p>
        </w:tc>
      </w:tr>
      <w:tr w:rsidR="00E570C4" w:rsidRPr="00E570C4" w14:paraId="712F603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A73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56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C5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96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14.941,06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A8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42,69%</w:t>
            </w:r>
          </w:p>
        </w:tc>
      </w:tr>
      <w:tr w:rsidR="00E570C4" w:rsidRPr="00E570C4" w14:paraId="2693FD0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4B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2F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068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B9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14.941,06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DC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7F29970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DC53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A100407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47F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Ekološka renta Općini Velika Trnovitica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17F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908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FCD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87,82%</w:t>
            </w:r>
          </w:p>
        </w:tc>
      </w:tr>
      <w:tr w:rsidR="00E570C4" w:rsidRPr="00E570C4" w14:paraId="41B0244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4C4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71FA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64F1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5F8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87,82%</w:t>
            </w:r>
          </w:p>
        </w:tc>
      </w:tr>
      <w:tr w:rsidR="00E570C4" w:rsidRPr="00E570C4" w14:paraId="23C9565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DD3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A3A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667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CF9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87,82%</w:t>
            </w:r>
          </w:p>
        </w:tc>
      </w:tr>
      <w:tr w:rsidR="00E570C4" w:rsidRPr="00E570C4" w14:paraId="5444B1A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378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B7D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9AB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D9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FC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87,82%</w:t>
            </w:r>
          </w:p>
        </w:tc>
      </w:tr>
      <w:tr w:rsidR="00E570C4" w:rsidRPr="00E570C4" w14:paraId="51A2383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8A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3F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88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B5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9.660,68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A3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9E15B4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3196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A100408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352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Kapitalna pomoć komunalnom društvu - sanacija odlagališta Johovača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076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B40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616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56C9DE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821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53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1.570.000,00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84A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AE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62FDD5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1F3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657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1.570.000,00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F3C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A52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26C9D0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488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18C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B3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1.570.000,00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DA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C5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36607E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048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K100404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0940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Sanacija odlagališta komunalnog otpada "Johovača"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B84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297.578,50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765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233.171,72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84F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78,36%</w:t>
            </w:r>
          </w:p>
        </w:tc>
      </w:tr>
      <w:tr w:rsidR="00E570C4" w:rsidRPr="00E570C4" w14:paraId="5376E95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9F1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51C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234.325,00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4BC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F39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96,02%</w:t>
            </w:r>
          </w:p>
        </w:tc>
      </w:tr>
      <w:tr w:rsidR="00E570C4" w:rsidRPr="00E570C4" w14:paraId="66F629A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38F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888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888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53D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562E852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DDF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19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D6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4E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C9F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3A2397A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74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D2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90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9C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11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4DC8B3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E9C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757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9.325,00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5E5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65D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1E950E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D8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15E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D55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9.325,00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90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F1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F00246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16A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220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63.253,50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188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8.171,72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224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12,92%</w:t>
            </w:r>
          </w:p>
        </w:tc>
      </w:tr>
      <w:tr w:rsidR="00E570C4" w:rsidRPr="00E570C4" w14:paraId="622C17D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0BF8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0AE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63.253,50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1CB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8.171,72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623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12,92%</w:t>
            </w:r>
          </w:p>
        </w:tc>
      </w:tr>
      <w:tr w:rsidR="00E570C4" w:rsidRPr="00E570C4" w14:paraId="1E7A9CB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9D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BE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4E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63.253,50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E9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8.171,72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99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12,92%</w:t>
            </w:r>
          </w:p>
        </w:tc>
      </w:tr>
      <w:tr w:rsidR="00E570C4" w:rsidRPr="00E570C4" w14:paraId="59D5D2A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E9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9B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DD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03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8.171,72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32F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309F49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FE1F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013C3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Poticanje razvoja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6F77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199.847,06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35FC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94.337,60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2DF4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47,20%</w:t>
            </w:r>
          </w:p>
        </w:tc>
      </w:tr>
      <w:tr w:rsidR="00E570C4" w:rsidRPr="00E570C4" w14:paraId="6E6E71D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5A9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8D6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poljskih puteva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494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114.747,06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EE2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85.061,06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CC1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74,13%</w:t>
            </w:r>
          </w:p>
        </w:tc>
      </w:tr>
      <w:tr w:rsidR="00E570C4" w:rsidRPr="00E570C4" w14:paraId="19642CC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22A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027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DBD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AD0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54519B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675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B89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ADF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3EB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05AD7D9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B7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E5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57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48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47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570C4" w:rsidRPr="00E570C4" w14:paraId="4DF215A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EB0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A8A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6E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71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43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989B77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473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9FB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104.747,06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11F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75.061,06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4792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71,66%</w:t>
            </w:r>
          </w:p>
        </w:tc>
      </w:tr>
      <w:tr w:rsidR="00E570C4" w:rsidRPr="00E570C4" w14:paraId="60C0C9F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F73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221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104.747,06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B2F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75.061,06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976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71,66%</w:t>
            </w:r>
          </w:p>
        </w:tc>
      </w:tr>
      <w:tr w:rsidR="00E570C4" w:rsidRPr="00E570C4" w14:paraId="645468B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257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B93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9B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104.747,06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7D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75.061,06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4A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71,66%</w:t>
            </w:r>
          </w:p>
        </w:tc>
      </w:tr>
      <w:tr w:rsidR="00E570C4" w:rsidRPr="00E570C4" w14:paraId="7358A34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6A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4B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F40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585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22.618,21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9F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D96F5A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BCE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68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5F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FE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52.442,85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FB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885CDC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B106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178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nabavu i ugradnju strojeva i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985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352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05C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C44A8C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48E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0A4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434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962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09A9D8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BEA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2D0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050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632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03A204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20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6E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77C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F2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5C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C073C2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567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F41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korištenje poslovnog prostora u START UP  inkubatoru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B54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DD8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F64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D57858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AD00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B50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380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ECA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6CD63C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A38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70F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5AA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C5D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6DF2BC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8F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FC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8E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11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3D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D34B51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F5E2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C48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pokretanje gospodarskih aktivnosti poduzetnika početnika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C94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040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D53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5E9553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3E8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607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1CC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64B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72406D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5DFC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627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567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FF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125A2E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E5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7BA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9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BA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3B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328BD7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87B2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A100915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92F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razvoj voćarstva, vinogradarstva i povrtlarstva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DB0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1B9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495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5C2D09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9A0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2FF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E63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F48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F8C31A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8B31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BD7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7D2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144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6170B0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0E2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3F2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38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BE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D6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58F096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F241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A100917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8A6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korištenje uredskih prostora u Tehno parku Garešnica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637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4803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9.276,54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8298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42,17%</w:t>
            </w:r>
          </w:p>
        </w:tc>
      </w:tr>
      <w:tr w:rsidR="00E570C4" w:rsidRPr="00E570C4" w14:paraId="3F29573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9501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2A8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8D8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9.276,54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558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42,17%</w:t>
            </w:r>
          </w:p>
        </w:tc>
      </w:tr>
      <w:tr w:rsidR="00E570C4" w:rsidRPr="00E570C4" w14:paraId="32A9A3D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2F6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858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986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9.276,54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A7C2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42,17%</w:t>
            </w:r>
          </w:p>
        </w:tc>
      </w:tr>
      <w:tr w:rsidR="00E570C4" w:rsidRPr="00E570C4" w14:paraId="0C88408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F1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DA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2A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A0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9.276,54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1E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42,17%</w:t>
            </w:r>
          </w:p>
        </w:tc>
      </w:tr>
      <w:tr w:rsidR="00E570C4" w:rsidRPr="00E570C4" w14:paraId="69DE682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A36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AC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89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C88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7.123,62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33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B54A28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94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C9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92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09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2.152,92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FF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F1C3C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B58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A100918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0A9F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gradnju poslovnih prostora oslobođenjem plaćanja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5BA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91E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298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5C9432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8C5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F72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E9F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31C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44B0D0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2E5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C6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A41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D9D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308CDB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73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10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D3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B1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E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EC53BF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9DE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A100919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64F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kupnju zemljišta u Poduzetničkoj zoni Kapelica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ADF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DAF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540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D3F8D1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A26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891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F8D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1AC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F8607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367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BED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AAD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AF0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DB201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7B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87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96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A0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59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DC4AA9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B0A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A100920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A77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osjemenjivanje stoke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F9C1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32A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A4B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D7D28D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37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633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340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D1C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95F249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55F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8F5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B03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CD3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7EC484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DC8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87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60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12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D8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7BF193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DA85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A100921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F84D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Aktivnost: Potpora za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sufinaniranje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troškova godišnjeg zakupa prodajnog mjesta na tržnici u Garešnici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9174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F0E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7DE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FAEFF1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7D2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B67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391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8CC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2C0030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D4E5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3BE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3964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8D9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51C889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73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A3F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A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D23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2C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7F1328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1EE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A100922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9E9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očuvanje pčelinjeg fonda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2B3D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99D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902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C7C169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C0B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5CF0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35D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0DA1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0D818F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BCE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8E1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8FF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BA0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9A015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B5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E32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02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AB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02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87C85A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CD79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7F9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ekološku proizvodnju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D13B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A64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FF52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D37961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113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1135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F93C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3E7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E76AE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504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A2B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DB0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6F4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7074D6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BF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DA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7B3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1E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E0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896D52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0FBC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A100924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6C9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Potpora za zakup plastenika u Poduzetničkoj zoni Kapelica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711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A481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C4E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E2E0A2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BCF5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E5A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670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A43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9E6C7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77D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BB46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93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21B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5A858F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778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2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22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1E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3D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C37ECB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6A45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EB33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15ED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815.705,60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4CF5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308.392,64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6E15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37,81%</w:t>
            </w:r>
          </w:p>
        </w:tc>
      </w:tr>
      <w:tr w:rsidR="00E570C4" w:rsidRPr="00E570C4" w14:paraId="25954D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1936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A101001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FDB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Javna rasvjeta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4B5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6DFC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78.272,00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2EC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50,17%</w:t>
            </w:r>
          </w:p>
        </w:tc>
      </w:tr>
      <w:tr w:rsidR="00E570C4" w:rsidRPr="00E570C4" w14:paraId="6B90B2E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60D6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E270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B16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78.272,00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BDF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50,17%</w:t>
            </w:r>
          </w:p>
        </w:tc>
      </w:tr>
      <w:tr w:rsidR="00E570C4" w:rsidRPr="00E570C4" w14:paraId="4EA67D7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B3B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F2E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E4B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78.272,00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C0FC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50,17%</w:t>
            </w:r>
          </w:p>
        </w:tc>
      </w:tr>
      <w:tr w:rsidR="00E570C4" w:rsidRPr="00E570C4" w14:paraId="55551EE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A3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DC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D6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95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78.272,00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AA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50,17%</w:t>
            </w:r>
          </w:p>
        </w:tc>
      </w:tr>
      <w:tr w:rsidR="00E570C4" w:rsidRPr="00E570C4" w14:paraId="3BE2C88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79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03A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95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D0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18.885,61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10A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3FF14D0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CD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967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C2A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14D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9.337,93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DD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56ED37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B8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C78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33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3F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50.048,46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A3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4D96D5B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308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A101005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4E8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i upravljanje nerazvrstanim cestama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17A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117A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79.904,34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667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25,05%</w:t>
            </w:r>
          </w:p>
        </w:tc>
      </w:tr>
      <w:tr w:rsidR="00E570C4" w:rsidRPr="00E570C4" w14:paraId="7D9AE29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0AF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651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639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79.904,34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4C29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30,85%</w:t>
            </w:r>
          </w:p>
        </w:tc>
      </w:tr>
      <w:tr w:rsidR="00E570C4" w:rsidRPr="00E570C4" w14:paraId="2726520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3A7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661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9A6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79.904,34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307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30,85%</w:t>
            </w:r>
          </w:p>
        </w:tc>
      </w:tr>
      <w:tr w:rsidR="00E570C4" w:rsidRPr="00E570C4" w14:paraId="63431A0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6F4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81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F0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FD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79.904,34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A9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30,85%</w:t>
            </w:r>
          </w:p>
        </w:tc>
      </w:tr>
      <w:tr w:rsidR="00E570C4" w:rsidRPr="00E570C4" w14:paraId="7E042EC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9B9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E54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53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8B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79.904,34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86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1871DC5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494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C939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7FA7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002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F74C7A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DA4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A4B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B704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0694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33BABF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8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523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15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27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52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05FB01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0D14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A101007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8C97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Aktivnost: Održavanje javnih površina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590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D25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147.491,62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AFC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50,68%</w:t>
            </w:r>
          </w:p>
        </w:tc>
      </w:tr>
      <w:tr w:rsidR="00E570C4" w:rsidRPr="00E570C4" w14:paraId="335A466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22C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090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5F4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147.491,62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00A5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50,68%</w:t>
            </w:r>
          </w:p>
        </w:tc>
      </w:tr>
      <w:tr w:rsidR="00E570C4" w:rsidRPr="00E570C4" w14:paraId="075333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B0B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499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291.000,00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EA0F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147.491,62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16D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50,68%</w:t>
            </w:r>
          </w:p>
        </w:tc>
      </w:tr>
      <w:tr w:rsidR="00E570C4" w:rsidRPr="00E570C4" w14:paraId="45E839C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7E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AAC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52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291.000,00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E9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147.491,62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83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50,68%</w:t>
            </w:r>
          </w:p>
        </w:tc>
      </w:tr>
      <w:tr w:rsidR="00E570C4" w:rsidRPr="00E570C4" w14:paraId="2139AD7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1B4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65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632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A8A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147.491,62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DDD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677EE44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152F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A101010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90D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građevina, uređaja i predmeta javne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ACC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459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476,08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8D6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5,95%</w:t>
            </w:r>
          </w:p>
        </w:tc>
      </w:tr>
      <w:tr w:rsidR="00E570C4" w:rsidRPr="00E570C4" w14:paraId="5C9DB4D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9944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A18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05C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476,08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06C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5,95%</w:t>
            </w:r>
          </w:p>
        </w:tc>
      </w:tr>
      <w:tr w:rsidR="00E570C4" w:rsidRPr="00E570C4" w14:paraId="7931B7E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FE31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8BA2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A7C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476,08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A10C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5,95%</w:t>
            </w:r>
          </w:p>
        </w:tc>
      </w:tr>
      <w:tr w:rsidR="00E570C4" w:rsidRPr="00E570C4" w14:paraId="759DCA6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A8B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CDF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95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6A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476,08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AC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5,95%</w:t>
            </w:r>
          </w:p>
        </w:tc>
      </w:tr>
      <w:tr w:rsidR="00E570C4" w:rsidRPr="00E570C4" w14:paraId="5E7FCD3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079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356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36D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87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476,08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74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54A09C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62E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A101011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E893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građevina javne odvodnje oborinskih 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3BC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1.705,60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E13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B52F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487A5F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5AE1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3CA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1.705,60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6C6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71BE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90293D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614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FCA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1.705,60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767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BDB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399939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2AF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54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94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1.705,60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85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A3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934FC4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FD6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A101012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44DF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F9B6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896E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2.248,60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109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22,49%</w:t>
            </w:r>
          </w:p>
        </w:tc>
      </w:tr>
      <w:tr w:rsidR="00E570C4" w:rsidRPr="00E570C4" w14:paraId="13664E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E9C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25A2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82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2.248,60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AA9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22,49%</w:t>
            </w:r>
          </w:p>
        </w:tc>
      </w:tr>
      <w:tr w:rsidR="00E570C4" w:rsidRPr="00E570C4" w14:paraId="7E42EA9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88F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5C6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A27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2.248,60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EF4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22,49%</w:t>
            </w:r>
          </w:p>
        </w:tc>
      </w:tr>
      <w:tr w:rsidR="00E570C4" w:rsidRPr="00E570C4" w14:paraId="090149A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75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769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93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F7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2.248,60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CD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22,49%</w:t>
            </w:r>
          </w:p>
        </w:tc>
      </w:tr>
      <w:tr w:rsidR="00E570C4" w:rsidRPr="00E570C4" w14:paraId="433401F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86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2A5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199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06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2.248,60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5E4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B8F18A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B26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A101013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7E0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Aktivnost: Održavanje objekata na grobljima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B52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8E5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741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A19BE1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1A7C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EEA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7A6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0AF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1388D8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EEE4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7AC9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55A2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F50B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61691D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DA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B6A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E0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CC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94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2BF598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E61E8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2EF69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Izgradnja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B5EF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3.473.683,27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ACC92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203.652,28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ACEAF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5,86%</w:t>
            </w:r>
          </w:p>
        </w:tc>
      </w:tr>
      <w:tr w:rsidR="00E570C4" w:rsidRPr="00E570C4" w14:paraId="3A2F27B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B632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K101104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846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Izgradnja nogostupa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B73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303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643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9F392F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2C7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96E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DDE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865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CBF180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AE7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5.3. Izvanproračunski korisnici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E04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EB9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0B5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2FB2FB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14A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94F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FE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0E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C27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1761DB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183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EE0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22FA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AC8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46ADAD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DD22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3637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B31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EBB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F87C39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FF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9D5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09F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30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35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C67C03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7FD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K101107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F633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Građevine i uređaji javne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D7E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978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5.061,50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CA1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4,73%</w:t>
            </w:r>
          </w:p>
        </w:tc>
      </w:tr>
      <w:tr w:rsidR="00E570C4" w:rsidRPr="00E570C4" w14:paraId="277CE4F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4CA4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1D62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132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3.655,25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999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52,22%</w:t>
            </w:r>
          </w:p>
        </w:tc>
      </w:tr>
      <w:tr w:rsidR="00E570C4" w:rsidRPr="00E570C4" w14:paraId="143808F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7C3D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03A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04B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3.655,25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D8FF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52,22%</w:t>
            </w:r>
          </w:p>
        </w:tc>
      </w:tr>
      <w:tr w:rsidR="00E570C4" w:rsidRPr="00E570C4" w14:paraId="32C06B0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9B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2CC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C2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24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3.655,25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05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52,22%</w:t>
            </w:r>
          </w:p>
        </w:tc>
      </w:tr>
      <w:tr w:rsidR="00E570C4" w:rsidRPr="00E570C4" w14:paraId="3B965F3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DC3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CA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097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34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2.787,50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793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52F3A24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DDE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A1F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5F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82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867,75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50E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5C7A07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5815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0CB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B5A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1.406,25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F02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1,41%</w:t>
            </w:r>
          </w:p>
        </w:tc>
      </w:tr>
      <w:tr w:rsidR="00E570C4" w:rsidRPr="00E570C4" w14:paraId="6721078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4A0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C4D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69A0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1.406,25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F4E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1,41%</w:t>
            </w:r>
          </w:p>
        </w:tc>
      </w:tr>
      <w:tr w:rsidR="00E570C4" w:rsidRPr="00E570C4" w14:paraId="659E6C8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0A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140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36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A7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1.406,25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DD2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1,41%</w:t>
            </w:r>
          </w:p>
        </w:tc>
      </w:tr>
      <w:tr w:rsidR="00E570C4" w:rsidRPr="00E570C4" w14:paraId="58095584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297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C3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Ostala nematerijalna proizvedena imovina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55D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955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1.406,25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C11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020BA59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29CF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BAA4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Modernizacija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079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598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CC91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3AE1D6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B6B3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CF8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BC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2784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B50C20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9F25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402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06B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4C9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3254F8E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27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632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749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84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926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092123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9DCE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BFCA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Izgradnja objekata na grobljima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88D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231.000,00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9F0A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1A77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225EC6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192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3E1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60.348,00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C9B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64A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C1AD45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A9FE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4611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60.348,00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D8D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74C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B31E45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66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97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E4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34.248,00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97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BD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EB5805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879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94B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F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AF4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5BF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4A4DEE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8FB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902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169.652,00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1A8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87F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A1A16B5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87CE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D08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109.652,00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B75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141E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A22333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E4C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D45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58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63.252,00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2EA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70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95D39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4F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D92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6B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DE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458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53BC631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29E6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355F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4E2C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DD4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878A1B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21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24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0D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7F3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81B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C237B8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FF23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B3B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2FD6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0B66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6B3A12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663D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06C9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1EB7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3FB1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C3828C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372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834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059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BC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7A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8F10A4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037D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B617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Javna parkirališta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6DF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0F5B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B0C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5EF2B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417E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648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5626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D04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027972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204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B96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24AE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FFE3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236F84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C9C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B49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972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25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2F7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B09FBC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FFA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K101115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94B7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Nerazvrstane ceste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063E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568B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E04C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0A1C1E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D77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02BD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EC4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0C35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37EA926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8C60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313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ECAB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3A50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F16C27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0C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8C1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670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8B7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D02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1D8B61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FB48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CD88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BDC8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8224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BED58A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938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8A7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2BC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4E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83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7F6892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ED4A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K101116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22B7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Rekonstrukcija Ulice Vladimira Nazora i Trga hrvatskih branitelja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B6C8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2.719.683,27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F0B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198.590,78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4770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7,30%</w:t>
            </w:r>
          </w:p>
        </w:tc>
      </w:tr>
      <w:tr w:rsidR="00E570C4" w:rsidRPr="00E570C4" w14:paraId="4092C2D8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851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89A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167.440,40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ED67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77F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E50656D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9B0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694B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167.440,40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36DD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ACB9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17F94C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C1B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6F6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DDA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167.440,40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AAA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ACF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2222B2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C07C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3944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BE44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116B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CCBA7A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F210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2246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AE1E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A138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900E3E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F02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3E3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932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255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C4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798BE3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2EB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22BB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104.492,87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37B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202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A95A14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5A8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5FD1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104.492,87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B7DB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313A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E4D28F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99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37B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E9B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104.492,87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6F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95D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34C455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8CAB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 fin. imovine i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4CF0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2.397.750,00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71A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198.590,78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0BFD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8,28%</w:t>
            </w:r>
          </w:p>
        </w:tc>
      </w:tr>
      <w:tr w:rsidR="00E570C4" w:rsidRPr="00E570C4" w14:paraId="695B0A6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C7BC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8.1. Namjenski primici /od fin. imovine i zaduživanja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52B6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2.397.750,00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EEB6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198.590,78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9C5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8,28%</w:t>
            </w:r>
          </w:p>
        </w:tc>
      </w:tr>
      <w:tr w:rsidR="00E570C4" w:rsidRPr="00E570C4" w14:paraId="3E135C2F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2F8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E4E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34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51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02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EB55F0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3E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530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6DF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2.283.750,00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4D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198.590,78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317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8,70%</w:t>
            </w:r>
          </w:p>
        </w:tc>
      </w:tr>
      <w:tr w:rsidR="00E570C4" w:rsidRPr="00E570C4" w14:paraId="40C2313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687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27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8E0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81F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198.590,78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FD7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570C4" w:rsidRPr="00E570C4" w14:paraId="2C50A10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E733F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C09564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Sufinanciranje izrade projektne dokumentacije i izgradnje vodnih građevina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300C7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219.850,00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5A59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2AD5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781CD9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E52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K101201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3953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izmjene starog azbest-cementnog cjevovoda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147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98F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64CE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8E1DF9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88A6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31B0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1254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EE1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0F3CAA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B153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ADB9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80C0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3056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9FF244A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B73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97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CC3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AF3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F5D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F15F1B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FDE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380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izgradnje vodoopskrbnog cjevovoda i kanalizacije u Hrastovcu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E8A7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2549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4E80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4012B8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5E00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0466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8EF4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029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EFFFD5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F32B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92CB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6001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F2D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290D75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A11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67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C33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AFC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6A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A97D73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0F652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K101203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694F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aglomeracije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D6D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9E91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F602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898B9D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80AF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938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36FE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99DD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FACE84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E2F3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54C9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7CB8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85E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21BA8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81B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A4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6C8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6E9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C65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1FB019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D3BB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K101209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976B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sanacije gubitaka vodovodne mreže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BEEA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00C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B71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3D857BB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3775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515C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215D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DA8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6DF9ED7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A7C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12CE2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3D00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0E5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704FEC3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572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493C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37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6A8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1DC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B96DE81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E6F2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K101212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B361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sanacije vodotornjeva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6BAD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AA39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1ED3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1F4F05E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2CE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CBA5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475B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4C1A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80DA030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6066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CAA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966E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C8E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68F2943B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F93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EAD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A3A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44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3A2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2C93F7D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D8B2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K101213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02A5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izgradnje predcrpnih stanica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516E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CB12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5DE9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0007AC8C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589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CA3C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3924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FCC9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DFB4BDF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330A1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D6C0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714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7B8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3B46220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18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850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3636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A47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28F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A19EC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529A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K101214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C0F8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izvedbe mjerno-regulacijskih mjesta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CDE1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45E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12F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C86DB03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9E7D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EDAB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AB67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6CE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26B671A2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CE22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CA06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245A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7781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42244F6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099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2F4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BA8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665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5358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D714FE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8415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K101218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3F6FD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Sufinanciranje sanacije problematičnih parametara u vodi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72E3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3BF0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45659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8CDAD89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313E7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nefin.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F6D9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C30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F138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4A16772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74C4A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7.1. Prihodi od prodaje </w:t>
            </w:r>
            <w:proofErr w:type="spellStart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nef</w:t>
            </w:r>
            <w:proofErr w:type="spellEnd"/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.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6A5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45B8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9308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1B27645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7558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A5E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8A0E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18D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130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9AD92F7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7016C6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1027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267E5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Program: Javna sigurnost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CAF78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87AB6C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C827D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5B7B704C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BCD1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K102702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8F6DE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Kapitalni projekt: Sanacija opasnih mjesta na području Grada Garešnice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36141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6B817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138C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172F1A14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FFD2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0CB4B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3C035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1816D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DE049AA" w14:textId="77777777" w:rsidTr="00E570C4">
        <w:trPr>
          <w:trHeight w:val="2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81ED3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348E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0FEB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7A34A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31D23F48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DB4B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B299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761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45E3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FBE4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570C4" w:rsidRPr="00E570C4" w14:paraId="74BC5BE2" w14:textId="77777777" w:rsidTr="00E570C4">
        <w:trPr>
          <w:trHeight w:val="2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84BF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7A30" w14:textId="77777777" w:rsidR="00E570C4" w:rsidRPr="00E570C4" w:rsidRDefault="00E570C4" w:rsidP="00E570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655F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B08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E0D0" w14:textId="77777777" w:rsidR="00E570C4" w:rsidRPr="00E570C4" w:rsidRDefault="00E570C4" w:rsidP="00E570C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570C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058737BF" w14:textId="77777777" w:rsidR="001D2B5F" w:rsidRPr="00E570C4" w:rsidRDefault="001D2B5F" w:rsidP="00E570C4">
      <w:pPr>
        <w:rPr>
          <w:rFonts w:asciiTheme="minorHAnsi" w:hAnsiTheme="minorHAnsi" w:cstheme="minorHAnsi"/>
          <w:b/>
          <w:color w:val="000000"/>
        </w:rPr>
      </w:pPr>
    </w:p>
    <w:p w14:paraId="4CFCE1A8" w14:textId="77777777" w:rsidR="001D2B5F" w:rsidRPr="00C1205D" w:rsidRDefault="001D2B5F" w:rsidP="00AA3C67">
      <w:pPr>
        <w:pStyle w:val="Odlomakpopisa"/>
        <w:ind w:left="360"/>
        <w:rPr>
          <w:rFonts w:asciiTheme="minorHAnsi" w:hAnsiTheme="minorHAnsi" w:cstheme="minorHAnsi"/>
          <w:b/>
          <w:color w:val="000000"/>
        </w:rPr>
      </w:pPr>
    </w:p>
    <w:p w14:paraId="64621284" w14:textId="77777777" w:rsidR="00106FBB" w:rsidRPr="00C1205D" w:rsidRDefault="00106FBB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  <w:sectPr w:rsidR="00106FBB" w:rsidRPr="00C1205D" w:rsidSect="00B243A0">
          <w:headerReference w:type="default" r:id="rId8"/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1E6461D0" w14:textId="38CBDED4" w:rsidR="00BD182E" w:rsidRPr="008F1359" w:rsidRDefault="003C25A4" w:rsidP="008F1359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8F1359">
        <w:rPr>
          <w:rFonts w:asciiTheme="minorHAnsi" w:hAnsiTheme="minorHAnsi" w:cstheme="minorHAnsi"/>
          <w:b/>
        </w:rPr>
        <w:lastRenderedPageBreak/>
        <w:t>Obrazloženje općeg dijela izvještaja o izvršenju proračuna</w:t>
      </w:r>
    </w:p>
    <w:p w14:paraId="4B7342FE" w14:textId="77777777" w:rsidR="008F1359" w:rsidRDefault="008F1359" w:rsidP="008F1359">
      <w:pPr>
        <w:rPr>
          <w:rFonts w:asciiTheme="minorHAnsi" w:hAnsiTheme="minorHAnsi" w:cstheme="minorHAnsi"/>
          <w:b/>
        </w:rPr>
      </w:pPr>
    </w:p>
    <w:p w14:paraId="4E0077EE" w14:textId="7913BA4A" w:rsidR="008F1359" w:rsidRPr="008F1359" w:rsidRDefault="008F1359" w:rsidP="00AD1627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Gradsko vijeće Grada Garešnica dana 26.</w:t>
      </w:r>
      <w:r w:rsidR="006C22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studenog 2024. godine na svojoj 28. sjednici donijelo je Proračun Grada Garešnice za 2025. godinu i projekcije za 2026. i 2027. godinu, te dana 18. lipnja 2025. godine na svojoj 2. sjednici donijelo je Odluku o I. izmjeni i dopuni Proračuna Grada Garešnice za 2025. godinu.</w:t>
      </w:r>
    </w:p>
    <w:p w14:paraId="70ACA543" w14:textId="532309AC" w:rsidR="00342F9D" w:rsidRDefault="00BD182E" w:rsidP="00342F9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Temeljem članka 4. i čl. </w:t>
      </w:r>
      <w:r w:rsidR="004616F4" w:rsidRPr="00C1205D">
        <w:rPr>
          <w:rFonts w:asciiTheme="minorHAnsi" w:hAnsiTheme="minorHAnsi" w:cstheme="minorHAnsi"/>
        </w:rPr>
        <w:t>28</w:t>
      </w:r>
      <w:r w:rsidRPr="00C1205D">
        <w:rPr>
          <w:rFonts w:asciiTheme="minorHAnsi" w:hAnsiTheme="minorHAnsi" w:cstheme="minorHAnsi"/>
        </w:rPr>
        <w:t>. Zakona o proračunu i Uputa za izradu proračuna jedinica lokalne i područne (regionaln</w:t>
      </w:r>
      <w:r w:rsidR="00C6684A" w:rsidRPr="00C1205D">
        <w:rPr>
          <w:rFonts w:asciiTheme="minorHAnsi" w:hAnsiTheme="minorHAnsi" w:cstheme="minorHAnsi"/>
        </w:rPr>
        <w:t>e</w:t>
      </w:r>
      <w:r w:rsidRPr="00C1205D">
        <w:rPr>
          <w:rFonts w:asciiTheme="minorHAnsi" w:hAnsiTheme="minorHAnsi" w:cstheme="minorHAnsi"/>
        </w:rPr>
        <w:t xml:space="preserve">) samouprave u Proračun Grada Garešnice uključeni </w:t>
      </w:r>
      <w:r w:rsidR="00C6684A" w:rsidRPr="00C1205D">
        <w:rPr>
          <w:rFonts w:asciiTheme="minorHAnsi" w:hAnsiTheme="minorHAnsi" w:cstheme="minorHAnsi"/>
        </w:rPr>
        <w:t xml:space="preserve">su </w:t>
      </w:r>
      <w:r w:rsidRPr="00C1205D">
        <w:rPr>
          <w:rFonts w:asciiTheme="minorHAnsi" w:hAnsiTheme="minorHAnsi" w:cstheme="minorHAnsi"/>
        </w:rPr>
        <w:t xml:space="preserve">svi vlastiti i namjenski prihodi i primici, te ukupni rashodi i izdaci proračunskih korisnika koji se izvršavaju preko jedinstvenog računa riznice. </w:t>
      </w:r>
      <w:r w:rsidR="00D516BF">
        <w:rPr>
          <w:rFonts w:asciiTheme="minorHAnsi" w:hAnsiTheme="minorHAnsi" w:cstheme="minorHAnsi"/>
        </w:rPr>
        <w:t>Polugodišnje</w:t>
      </w:r>
      <w:r w:rsidRPr="00C1205D">
        <w:rPr>
          <w:rFonts w:asciiTheme="minorHAnsi" w:hAnsiTheme="minorHAnsi" w:cstheme="minorHAnsi"/>
        </w:rPr>
        <w:t xml:space="preserve"> izvršenje proračuna za 202</w:t>
      </w:r>
      <w:r w:rsidR="00A735B3">
        <w:rPr>
          <w:rFonts w:asciiTheme="minorHAnsi" w:hAnsiTheme="minorHAnsi" w:cstheme="minorHAnsi"/>
        </w:rPr>
        <w:t>5</w:t>
      </w:r>
      <w:r w:rsidRPr="00C1205D">
        <w:rPr>
          <w:rFonts w:asciiTheme="minorHAnsi" w:hAnsiTheme="minorHAnsi" w:cstheme="minorHAnsi"/>
        </w:rPr>
        <w:t>. godinu time predstavlja konsolidirano izvješće koje obuhvaća Grad Garešnicu i proračunske korisnike Javnu vatrogasnu postrojbu Garešnica, Dječji vrtić „Maslačak“ Garešnica</w:t>
      </w:r>
      <w:r w:rsidR="0070334C" w:rsidRPr="00C1205D">
        <w:rPr>
          <w:rFonts w:asciiTheme="minorHAnsi" w:hAnsiTheme="minorHAnsi" w:cstheme="minorHAnsi"/>
        </w:rPr>
        <w:t>,</w:t>
      </w:r>
      <w:r w:rsidRPr="00C1205D">
        <w:rPr>
          <w:rFonts w:asciiTheme="minorHAnsi" w:hAnsiTheme="minorHAnsi" w:cstheme="minorHAnsi"/>
        </w:rPr>
        <w:t xml:space="preserve"> Hrvatsku knjižnicu i čitaonicu „Đuro Sudeta“ Garešnica</w:t>
      </w:r>
      <w:r w:rsidR="005E2624" w:rsidRPr="00C1205D">
        <w:rPr>
          <w:rFonts w:asciiTheme="minorHAnsi" w:hAnsiTheme="minorHAnsi" w:cstheme="minorHAnsi"/>
        </w:rPr>
        <w:t>,</w:t>
      </w:r>
      <w:r w:rsidR="0070334C" w:rsidRPr="00C1205D">
        <w:rPr>
          <w:rFonts w:asciiTheme="minorHAnsi" w:hAnsiTheme="minorHAnsi" w:cstheme="minorHAnsi"/>
        </w:rPr>
        <w:t xml:space="preserve"> Javnu ustanovu za upravljanje centrom za posjetitelje Garešnica</w:t>
      </w:r>
      <w:r w:rsidR="00C91827" w:rsidRPr="00C1205D">
        <w:rPr>
          <w:rFonts w:asciiTheme="minorHAnsi" w:hAnsiTheme="minorHAnsi" w:cstheme="minorHAnsi"/>
        </w:rPr>
        <w:t>, Osnovnu školu Garešnica i Osnovnu školu Trnovitički Popovac.</w:t>
      </w:r>
    </w:p>
    <w:p w14:paraId="67155DCD" w14:textId="4BB6FE3E" w:rsidR="00342F9D" w:rsidRDefault="00665525" w:rsidP="00342F9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42F9D">
        <w:rPr>
          <w:rFonts w:asciiTheme="minorHAnsi" w:hAnsiTheme="minorHAnsi" w:cstheme="minorHAnsi"/>
        </w:rPr>
        <w:t>tanje</w:t>
      </w:r>
      <w:r>
        <w:rPr>
          <w:rFonts w:asciiTheme="minorHAnsi" w:hAnsiTheme="minorHAnsi" w:cstheme="minorHAnsi"/>
        </w:rPr>
        <w:t xml:space="preserve"> jedinstvenog</w:t>
      </w:r>
      <w:r w:rsidR="00342F9D">
        <w:rPr>
          <w:rFonts w:asciiTheme="minorHAnsi" w:hAnsiTheme="minorHAnsi" w:cstheme="minorHAnsi"/>
        </w:rPr>
        <w:t xml:space="preserve"> računa </w:t>
      </w:r>
      <w:r>
        <w:rPr>
          <w:rFonts w:asciiTheme="minorHAnsi" w:hAnsiTheme="minorHAnsi" w:cstheme="minorHAnsi"/>
        </w:rPr>
        <w:t xml:space="preserve">riznice </w:t>
      </w:r>
      <w:r w:rsidR="00342F9D">
        <w:rPr>
          <w:rFonts w:asciiTheme="minorHAnsi" w:hAnsiTheme="minorHAnsi" w:cstheme="minorHAnsi"/>
        </w:rPr>
        <w:t>na dan 30. lipnja 202</w:t>
      </w:r>
      <w:r w:rsidR="00A735B3">
        <w:rPr>
          <w:rFonts w:asciiTheme="minorHAnsi" w:hAnsiTheme="minorHAnsi" w:cstheme="minorHAnsi"/>
        </w:rPr>
        <w:t>5</w:t>
      </w:r>
      <w:r w:rsidR="00342F9D">
        <w:rPr>
          <w:rFonts w:asciiTheme="minorHAnsi" w:hAnsiTheme="minorHAnsi" w:cstheme="minorHAnsi"/>
        </w:rPr>
        <w:t xml:space="preserve">. godine iznosilo je </w:t>
      </w:r>
      <w:r w:rsidR="00A735B3" w:rsidRPr="00A735B3">
        <w:rPr>
          <w:rFonts w:asciiTheme="minorHAnsi" w:hAnsiTheme="minorHAnsi" w:cstheme="minorHAnsi"/>
        </w:rPr>
        <w:t>590.977,01</w:t>
      </w:r>
      <w:r w:rsidR="00342F9D">
        <w:rPr>
          <w:rFonts w:asciiTheme="minorHAnsi" w:hAnsiTheme="minorHAnsi" w:cstheme="minorHAnsi"/>
        </w:rPr>
        <w:t xml:space="preserve"> eura.</w:t>
      </w:r>
      <w:r w:rsidR="00AD1627">
        <w:rPr>
          <w:rFonts w:asciiTheme="minorHAnsi" w:hAnsiTheme="minorHAnsi" w:cstheme="minorHAnsi"/>
        </w:rPr>
        <w:t xml:space="preserve"> Ukupno stanje novčanih sredstava na računima i u blagajnama iznosi 592.371,01 eura.</w:t>
      </w:r>
    </w:p>
    <w:p w14:paraId="4D6FA2CF" w14:textId="77777777" w:rsidR="009F0BA8" w:rsidRDefault="009F0BA8" w:rsidP="00342F9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1668D1" w14:textId="1EC3E5B7" w:rsidR="009F0BA8" w:rsidRDefault="009F0BA8" w:rsidP="00342F9D">
      <w:pPr>
        <w:spacing w:after="0" w:line="240" w:lineRule="auto"/>
        <w:jc w:val="both"/>
      </w:pPr>
      <w:r>
        <w:t xml:space="preserve">- Prijenosi proračunskim korisnicima Grada Garešnice za financiranje rashoda poslovanja povećani su za 32,6%  i po korisnicima iznose:  Javna vatrogasna postrojba  u iznosu od 470.415,60 €, Dječji vrtić „Maslačak“  u iznosu od 716.440,50 €, Hrvatska knjižnica i čitaonica „Đuro Sudeta“  u iznosu od 58.217,37 €, Javna ustanova za upravljanje Centrom za posjetitelje Garešnica  u iznosu od 80.915,32 €, Osnovna škola Garešnica  u iznosu od 123.029,20 €, Osnovna škola Trnovitički Popovac  u iznosu od 45.554,01 €.  </w:t>
      </w:r>
    </w:p>
    <w:p w14:paraId="6BB658BB" w14:textId="77777777" w:rsidR="009F0BA8" w:rsidRDefault="009F0BA8" w:rsidP="00342F9D">
      <w:pPr>
        <w:spacing w:after="0" w:line="240" w:lineRule="auto"/>
        <w:jc w:val="both"/>
      </w:pPr>
      <w:r>
        <w:t xml:space="preserve">- Prijenosi proračunskim korisnicima Grada Garešnice za nabavu nefinancijske imovine smanjeni su za 31,9%  i po korisnicima iznose: Javna vatrogasna postrojba  u iznosu od 8.805,22 €, Dječji vrtić „Maslačak“  u iznosu od 0,00 €, Hrvatska knjižnica i čitaonica „Đuro Sudeta“  u iznosu od 3.022,96 €, Javna ustanova za upravljanje Centrom za posjetitelje Garešnica  u iznosu od 1.785,00 € , Osnovna škola Garešnica  u iznosu od 3.022,40 € , Osnovna škola Trnovitički Popovac  u iznosu od 0,00 €. </w:t>
      </w:r>
    </w:p>
    <w:p w14:paraId="13C875C1" w14:textId="49C37D9A" w:rsidR="009F0BA8" w:rsidRDefault="009F0BA8" w:rsidP="00342F9D">
      <w:pPr>
        <w:spacing w:after="0" w:line="240" w:lineRule="auto"/>
        <w:jc w:val="both"/>
        <w:rPr>
          <w:rFonts w:asciiTheme="minorHAnsi" w:hAnsiTheme="minorHAnsi" w:cstheme="minorHAnsi"/>
        </w:rPr>
      </w:pPr>
      <w:r>
        <w:t>-Prijenosi između proračunskih korisnika istog proračuna iznose 33.358,67 €, a povezani su sa projektom „Pomoćnici u nastavi – faza VII“ i prijenos se evidentira između Grada Garešnice i Osnovnih škola Garešnica i  Trnovitički Popovac.</w:t>
      </w:r>
    </w:p>
    <w:p w14:paraId="5A1CD619" w14:textId="77777777" w:rsidR="00342F9D" w:rsidRPr="00342F9D" w:rsidRDefault="00342F9D" w:rsidP="00342F9D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94286BA" w14:textId="587E1E91" w:rsidR="00BD182E" w:rsidRPr="00C1205D" w:rsidRDefault="00BD182E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b/>
        </w:rPr>
        <w:t>Proračunski prihodi i primici</w:t>
      </w:r>
      <w:r w:rsidRPr="00C1205D">
        <w:rPr>
          <w:rFonts w:asciiTheme="minorHAnsi" w:hAnsiTheme="minorHAnsi" w:cstheme="minorHAnsi"/>
        </w:rPr>
        <w:t xml:space="preserve"> ostvareni su u iznosu od </w:t>
      </w:r>
      <w:r w:rsidR="00D516BF">
        <w:rPr>
          <w:rFonts w:asciiTheme="minorHAnsi" w:hAnsiTheme="minorHAnsi" w:cstheme="minorHAnsi"/>
          <w:b/>
          <w:bCs/>
        </w:rPr>
        <w:t>5.</w:t>
      </w:r>
      <w:r w:rsidR="00103436">
        <w:rPr>
          <w:rFonts w:asciiTheme="minorHAnsi" w:hAnsiTheme="minorHAnsi" w:cstheme="minorHAnsi"/>
          <w:b/>
          <w:bCs/>
        </w:rPr>
        <w:t>731.642,32</w:t>
      </w:r>
      <w:r w:rsidR="00F63781" w:rsidRPr="00C1205D">
        <w:rPr>
          <w:rFonts w:asciiTheme="minorHAnsi" w:hAnsiTheme="minorHAnsi" w:cstheme="minorHAnsi"/>
          <w:b/>
          <w:bCs/>
        </w:rPr>
        <w:t xml:space="preserve"> eura</w:t>
      </w:r>
      <w:r w:rsidRPr="00C1205D">
        <w:rPr>
          <w:rFonts w:asciiTheme="minorHAnsi" w:hAnsiTheme="minorHAnsi" w:cstheme="minorHAnsi"/>
        </w:rPr>
        <w:t xml:space="preserve"> što iznosi </w:t>
      </w:r>
      <w:r w:rsidR="00103436">
        <w:rPr>
          <w:rFonts w:asciiTheme="minorHAnsi" w:hAnsiTheme="minorHAnsi" w:cstheme="minorHAnsi"/>
        </w:rPr>
        <w:t>29,68</w:t>
      </w:r>
      <w:r w:rsidRPr="00C1205D">
        <w:rPr>
          <w:rFonts w:asciiTheme="minorHAnsi" w:hAnsiTheme="minorHAnsi" w:cstheme="minorHAnsi"/>
        </w:rPr>
        <w:t>% izvršenja tekućeg  plana. U odnosu na isto razdoblje 202</w:t>
      </w:r>
      <w:r w:rsidR="00103436">
        <w:rPr>
          <w:rFonts w:asciiTheme="minorHAnsi" w:hAnsiTheme="minorHAnsi" w:cstheme="minorHAnsi"/>
        </w:rPr>
        <w:t>4</w:t>
      </w:r>
      <w:r w:rsidRPr="00C1205D">
        <w:rPr>
          <w:rFonts w:asciiTheme="minorHAnsi" w:hAnsiTheme="minorHAnsi" w:cstheme="minorHAnsi"/>
        </w:rPr>
        <w:t xml:space="preserve">. godine proračunski prihodi i primici </w:t>
      </w:r>
      <w:r w:rsidR="00F63781" w:rsidRPr="00C1205D">
        <w:rPr>
          <w:rFonts w:asciiTheme="minorHAnsi" w:hAnsiTheme="minorHAnsi" w:cstheme="minorHAnsi"/>
        </w:rPr>
        <w:t xml:space="preserve">povećani su za </w:t>
      </w:r>
      <w:r w:rsidR="00103436">
        <w:rPr>
          <w:rFonts w:asciiTheme="minorHAnsi" w:hAnsiTheme="minorHAnsi" w:cstheme="minorHAnsi"/>
        </w:rPr>
        <w:t>5,57</w:t>
      </w:r>
      <w:r w:rsidR="00F63781" w:rsidRPr="00C1205D">
        <w:rPr>
          <w:rFonts w:asciiTheme="minorHAnsi" w:hAnsiTheme="minorHAnsi" w:cstheme="minorHAnsi"/>
        </w:rPr>
        <w:t>%.</w:t>
      </w:r>
    </w:p>
    <w:p w14:paraId="68378095" w14:textId="68DD0023" w:rsidR="00BD182E" w:rsidRPr="00C1205D" w:rsidRDefault="00BD182E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b/>
        </w:rPr>
        <w:t>Proračunski rashodi i izdaci</w:t>
      </w:r>
      <w:r w:rsidRPr="00C1205D">
        <w:rPr>
          <w:rFonts w:asciiTheme="minorHAnsi" w:hAnsiTheme="minorHAnsi" w:cstheme="minorHAnsi"/>
        </w:rPr>
        <w:t xml:space="preserve"> iznose </w:t>
      </w:r>
      <w:r w:rsidR="00103436">
        <w:rPr>
          <w:rFonts w:asciiTheme="minorHAnsi" w:hAnsiTheme="minorHAnsi" w:cstheme="minorHAnsi"/>
          <w:b/>
          <w:bCs/>
        </w:rPr>
        <w:t>7.022.189,24</w:t>
      </w:r>
      <w:r w:rsidR="001A5416" w:rsidRPr="00C1205D">
        <w:rPr>
          <w:rFonts w:asciiTheme="minorHAnsi" w:hAnsiTheme="minorHAnsi" w:cstheme="minorHAnsi"/>
          <w:b/>
          <w:bCs/>
        </w:rPr>
        <w:t xml:space="preserve"> eura</w:t>
      </w:r>
      <w:r w:rsidRPr="00C1205D">
        <w:rPr>
          <w:rFonts w:asciiTheme="minorHAnsi" w:hAnsiTheme="minorHAnsi" w:cstheme="minorHAnsi"/>
        </w:rPr>
        <w:t xml:space="preserve"> što predstavlja </w:t>
      </w:r>
      <w:r w:rsidR="00103436">
        <w:rPr>
          <w:rFonts w:asciiTheme="minorHAnsi" w:hAnsiTheme="minorHAnsi" w:cstheme="minorHAnsi"/>
        </w:rPr>
        <w:t>35,86</w:t>
      </w:r>
      <w:r w:rsidRPr="00C1205D">
        <w:rPr>
          <w:rFonts w:asciiTheme="minorHAnsi" w:hAnsiTheme="minorHAnsi" w:cstheme="minorHAnsi"/>
        </w:rPr>
        <w:t>% izvršenja tekućeg   plana za 202</w:t>
      </w:r>
      <w:r w:rsidR="00103436">
        <w:rPr>
          <w:rFonts w:asciiTheme="minorHAnsi" w:hAnsiTheme="minorHAnsi" w:cstheme="minorHAnsi"/>
        </w:rPr>
        <w:t>5</w:t>
      </w:r>
      <w:r w:rsidRPr="00C1205D">
        <w:rPr>
          <w:rFonts w:asciiTheme="minorHAnsi" w:hAnsiTheme="minorHAnsi" w:cstheme="minorHAnsi"/>
        </w:rPr>
        <w:t>. godinu. U odnosu na isto razdoblje 202</w:t>
      </w:r>
      <w:r w:rsidR="00103436">
        <w:rPr>
          <w:rFonts w:asciiTheme="minorHAnsi" w:hAnsiTheme="minorHAnsi" w:cstheme="minorHAnsi"/>
        </w:rPr>
        <w:t>4</w:t>
      </w:r>
      <w:r w:rsidRPr="00C1205D">
        <w:rPr>
          <w:rFonts w:asciiTheme="minorHAnsi" w:hAnsiTheme="minorHAnsi" w:cstheme="minorHAnsi"/>
        </w:rPr>
        <w:t xml:space="preserve">. godine isti su </w:t>
      </w:r>
      <w:r w:rsidR="001A5416" w:rsidRPr="00C1205D">
        <w:rPr>
          <w:rFonts w:asciiTheme="minorHAnsi" w:hAnsiTheme="minorHAnsi" w:cstheme="minorHAnsi"/>
        </w:rPr>
        <w:t>povećani</w:t>
      </w:r>
      <w:r w:rsidRPr="00C1205D">
        <w:rPr>
          <w:rFonts w:asciiTheme="minorHAnsi" w:hAnsiTheme="minorHAnsi" w:cstheme="minorHAnsi"/>
        </w:rPr>
        <w:t xml:space="preserve"> za </w:t>
      </w:r>
      <w:r w:rsidR="00103436">
        <w:rPr>
          <w:rFonts w:asciiTheme="minorHAnsi" w:hAnsiTheme="minorHAnsi" w:cstheme="minorHAnsi"/>
        </w:rPr>
        <w:t>29,11</w:t>
      </w:r>
      <w:r w:rsidRPr="00C1205D">
        <w:rPr>
          <w:rFonts w:asciiTheme="minorHAnsi" w:hAnsiTheme="minorHAnsi" w:cstheme="minorHAnsi"/>
        </w:rPr>
        <w:t>%.</w:t>
      </w:r>
    </w:p>
    <w:p w14:paraId="50CC3918" w14:textId="77777777" w:rsidR="005335AC" w:rsidRDefault="00BD182E" w:rsidP="005335A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Razlika ukupnih prihoda i primitaka te rashoda i izdataka  predstavlja </w:t>
      </w:r>
      <w:r w:rsidR="0072589D" w:rsidRPr="0072589D">
        <w:rPr>
          <w:rFonts w:asciiTheme="minorHAnsi" w:hAnsiTheme="minorHAnsi" w:cstheme="minorHAnsi"/>
          <w:b/>
          <w:bCs/>
        </w:rPr>
        <w:t>manjak</w:t>
      </w:r>
      <w:r w:rsidRPr="00C1205D">
        <w:rPr>
          <w:rFonts w:asciiTheme="minorHAnsi" w:hAnsiTheme="minorHAnsi" w:cstheme="minorHAnsi"/>
          <w:b/>
          <w:bCs/>
        </w:rPr>
        <w:t xml:space="preserve"> u iznosu od </w:t>
      </w:r>
      <w:r w:rsidR="00103436">
        <w:rPr>
          <w:rFonts w:asciiTheme="minorHAnsi" w:hAnsiTheme="minorHAnsi" w:cstheme="minorHAnsi"/>
          <w:b/>
          <w:bCs/>
        </w:rPr>
        <w:t>1.290.546,92</w:t>
      </w:r>
      <w:r w:rsidR="001A5416" w:rsidRPr="00C1205D">
        <w:rPr>
          <w:rFonts w:asciiTheme="minorHAnsi" w:hAnsiTheme="minorHAnsi" w:cstheme="minorHAnsi"/>
          <w:b/>
          <w:bCs/>
        </w:rPr>
        <w:t xml:space="preserve"> eura</w:t>
      </w:r>
      <w:r w:rsidRPr="00C1205D">
        <w:rPr>
          <w:rFonts w:asciiTheme="minorHAnsi" w:hAnsiTheme="minorHAnsi" w:cstheme="minorHAnsi"/>
        </w:rPr>
        <w:t>.</w:t>
      </w:r>
      <w:r w:rsidR="001C1847">
        <w:rPr>
          <w:rFonts w:asciiTheme="minorHAnsi" w:hAnsiTheme="minorHAnsi" w:cstheme="minorHAnsi"/>
        </w:rPr>
        <w:t xml:space="preserve"> Uzrok nastanka manjka je</w:t>
      </w:r>
      <w:r w:rsidR="005335AC">
        <w:rPr>
          <w:rFonts w:asciiTheme="minorHAnsi" w:hAnsiTheme="minorHAnsi" w:cstheme="minorHAnsi"/>
        </w:rPr>
        <w:t>:</w:t>
      </w:r>
    </w:p>
    <w:p w14:paraId="016F3E95" w14:textId="45B733C5" w:rsidR="00BD182E" w:rsidRDefault="005335AC" w:rsidP="00F22FC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1C1847">
        <w:rPr>
          <w:rFonts w:asciiTheme="minorHAnsi" w:hAnsiTheme="minorHAnsi" w:cstheme="minorHAnsi"/>
        </w:rPr>
        <w:t xml:space="preserve"> korištenje viška prihoda iz proteklih godina koji je planiran kao izvor</w:t>
      </w:r>
      <w:r w:rsidR="004F255A">
        <w:rPr>
          <w:rFonts w:asciiTheme="minorHAnsi" w:hAnsiTheme="minorHAnsi" w:cstheme="minorHAnsi"/>
        </w:rPr>
        <w:t xml:space="preserve"> financiranja</w:t>
      </w:r>
      <w:r w:rsidR="001C1847">
        <w:rPr>
          <w:rFonts w:asciiTheme="minorHAnsi" w:hAnsiTheme="minorHAnsi" w:cstheme="minorHAnsi"/>
        </w:rPr>
        <w:t xml:space="preserve"> u tekućoj godini</w:t>
      </w:r>
      <w:r w:rsidR="00103436">
        <w:rPr>
          <w:rFonts w:asciiTheme="minorHAnsi" w:hAnsiTheme="minorHAnsi" w:cstheme="minorHAnsi"/>
        </w:rPr>
        <w:t xml:space="preserve">, </w:t>
      </w:r>
      <w:r w:rsidR="001C1847">
        <w:rPr>
          <w:rFonts w:asciiTheme="minorHAnsi" w:hAnsiTheme="minorHAnsi" w:cstheme="minorHAnsi"/>
        </w:rPr>
        <w:t xml:space="preserve"> </w:t>
      </w:r>
    </w:p>
    <w:p w14:paraId="3EAF89B6" w14:textId="62F0E628" w:rsidR="00FD5E33" w:rsidRDefault="005335AC" w:rsidP="00F22FC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neisplaćenih ugovorenih pomoći</w:t>
      </w:r>
      <w:r w:rsidR="00F22FCB">
        <w:rPr>
          <w:rFonts w:asciiTheme="minorHAnsi" w:hAnsiTheme="minorHAnsi" w:cstheme="minorHAnsi"/>
        </w:rPr>
        <w:t xml:space="preserve"> i namjenskih primitaka od zaduživanja</w:t>
      </w:r>
      <w:r>
        <w:rPr>
          <w:rFonts w:asciiTheme="minorHAnsi" w:hAnsiTheme="minorHAnsi" w:cstheme="minorHAnsi"/>
        </w:rPr>
        <w:t xml:space="preserve"> iz kojih se financiraju nastali troškovi projekata „Sanacija odlagališta komunalnog otpada Johovača“</w:t>
      </w:r>
      <w:r w:rsidR="00F22FCB">
        <w:rPr>
          <w:rFonts w:asciiTheme="minorHAnsi" w:hAnsiTheme="minorHAnsi" w:cstheme="minorHAnsi"/>
        </w:rPr>
        <w:t>, „Dogradnja dječjeg vrtića Maslačak“, „Izgradnja Parka za pse“, „</w:t>
      </w:r>
      <w:r w:rsidR="00F22FCB" w:rsidRPr="00F22FCB">
        <w:rPr>
          <w:rFonts w:asciiTheme="minorHAnsi" w:hAnsiTheme="minorHAnsi" w:cstheme="minorHAnsi"/>
        </w:rPr>
        <w:t>Rekonstrukcija Ulice Vladimira Nazora i Trga hrvatskih branitelja</w:t>
      </w:r>
      <w:r w:rsidR="00F22FCB">
        <w:rPr>
          <w:rFonts w:asciiTheme="minorHAnsi" w:hAnsiTheme="minorHAnsi" w:cstheme="minorHAnsi"/>
        </w:rPr>
        <w:t>“</w:t>
      </w:r>
      <w:r w:rsidR="00FD5E33">
        <w:rPr>
          <w:rFonts w:asciiTheme="minorHAnsi" w:hAnsiTheme="minorHAnsi" w:cstheme="minorHAnsi"/>
        </w:rPr>
        <w:t>. Naplata istih se očekuje u tijeku proračunske godine.</w:t>
      </w:r>
    </w:p>
    <w:p w14:paraId="0083D522" w14:textId="164D7B2B" w:rsidR="00F22FCB" w:rsidRPr="00C1205D" w:rsidRDefault="00F22FCB" w:rsidP="00F22FC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kod proračunskih korisnika Osnovne škole Garešnica i Osnovne škole Trnovitički Popovac</w:t>
      </w:r>
      <w:r w:rsidR="00FD5E33">
        <w:rPr>
          <w:rFonts w:asciiTheme="minorHAnsi" w:hAnsiTheme="minorHAnsi" w:cstheme="minorHAnsi"/>
        </w:rPr>
        <w:t xml:space="preserve"> evidentirano je sedam mjesečnih troškova za plaće (za prosinac 2024. i siječanj – lipanj 2025. godine) sukladno novom Pravilniku o proračunskom računovodstvu i računskom planu, a isti su iz Ministarstva znanosti, obrazovanja i mladih zaprimili pomoći za troškove šest mjesečnih plaća</w:t>
      </w:r>
      <w:r w:rsidR="009F0BA8">
        <w:rPr>
          <w:rFonts w:asciiTheme="minorHAnsi" w:hAnsiTheme="minorHAnsi" w:cstheme="minorHAnsi"/>
        </w:rPr>
        <w:t xml:space="preserve"> (</w:t>
      </w:r>
      <w:r w:rsidR="00FD5E33">
        <w:rPr>
          <w:rFonts w:asciiTheme="minorHAnsi" w:hAnsiTheme="minorHAnsi" w:cstheme="minorHAnsi"/>
        </w:rPr>
        <w:t>metodološki manjak</w:t>
      </w:r>
      <w:r w:rsidR="009F0BA8">
        <w:rPr>
          <w:rFonts w:asciiTheme="minorHAnsi" w:hAnsiTheme="minorHAnsi" w:cstheme="minorHAnsi"/>
        </w:rPr>
        <w:t>)</w:t>
      </w:r>
      <w:r w:rsidR="00FD5E33">
        <w:rPr>
          <w:rFonts w:asciiTheme="minorHAnsi" w:hAnsiTheme="minorHAnsi" w:cstheme="minorHAnsi"/>
        </w:rPr>
        <w:t>.</w:t>
      </w:r>
    </w:p>
    <w:p w14:paraId="45AAA5A3" w14:textId="77777777" w:rsidR="00FD5E33" w:rsidRDefault="00FD5E33" w:rsidP="00BD182E">
      <w:pPr>
        <w:jc w:val="both"/>
        <w:rPr>
          <w:rFonts w:asciiTheme="minorHAnsi" w:hAnsiTheme="minorHAnsi" w:cstheme="minorHAnsi"/>
        </w:rPr>
      </w:pPr>
    </w:p>
    <w:p w14:paraId="23C08CC8" w14:textId="56DF0AB5" w:rsidR="00BD182E" w:rsidRPr="00C1205D" w:rsidRDefault="00BD182E" w:rsidP="00BD182E">
      <w:pPr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Strukturu ukupnog proračunskog </w:t>
      </w:r>
      <w:r w:rsidR="00C75B30">
        <w:rPr>
          <w:rFonts w:asciiTheme="minorHAnsi" w:hAnsiTheme="minorHAnsi" w:cstheme="minorHAnsi"/>
        </w:rPr>
        <w:t>manjka</w:t>
      </w:r>
      <w:r w:rsidRPr="00C1205D">
        <w:rPr>
          <w:rFonts w:asciiTheme="minorHAnsi" w:hAnsiTheme="minorHAnsi" w:cstheme="minorHAnsi"/>
        </w:rPr>
        <w:t xml:space="preserve"> Grada Garešnice i njegovih proračunskih korisnika čini:</w:t>
      </w:r>
    </w:p>
    <w:tbl>
      <w:tblPr>
        <w:tblStyle w:val="Reetkatablice"/>
        <w:tblW w:w="7433" w:type="dxa"/>
        <w:tblInd w:w="472" w:type="dxa"/>
        <w:tblLook w:val="04A0" w:firstRow="1" w:lastRow="0" w:firstColumn="1" w:lastColumn="0" w:noHBand="0" w:noVBand="1"/>
      </w:tblPr>
      <w:tblGrid>
        <w:gridCol w:w="4456"/>
        <w:gridCol w:w="2977"/>
      </w:tblGrid>
      <w:tr w:rsidR="00BD182E" w:rsidRPr="00C1205D" w14:paraId="4FC3E18B" w14:textId="77777777" w:rsidTr="00873D9A">
        <w:tc>
          <w:tcPr>
            <w:tcW w:w="4456" w:type="dxa"/>
          </w:tcPr>
          <w:p w14:paraId="2CE5A668" w14:textId="77777777" w:rsidR="00BD182E" w:rsidRPr="00C1205D" w:rsidRDefault="00BD182E" w:rsidP="00873D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1205D">
              <w:rPr>
                <w:rFonts w:asciiTheme="minorHAnsi" w:hAnsiTheme="minorHAnsi" w:cstheme="minorHAnsi"/>
                <w:b/>
              </w:rPr>
              <w:t>NAZIV</w:t>
            </w:r>
          </w:p>
        </w:tc>
        <w:tc>
          <w:tcPr>
            <w:tcW w:w="2977" w:type="dxa"/>
          </w:tcPr>
          <w:p w14:paraId="012DA948" w14:textId="77777777" w:rsidR="00BD182E" w:rsidRPr="00C1205D" w:rsidRDefault="00BD182E" w:rsidP="00873D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205D">
              <w:rPr>
                <w:rFonts w:asciiTheme="minorHAnsi" w:hAnsiTheme="minorHAnsi" w:cstheme="minorHAnsi"/>
                <w:b/>
              </w:rPr>
              <w:t>Višak/manjak</w:t>
            </w:r>
          </w:p>
        </w:tc>
      </w:tr>
      <w:tr w:rsidR="00BD182E" w:rsidRPr="00C1205D" w14:paraId="637BE9F9" w14:textId="77777777" w:rsidTr="00873D9A">
        <w:tc>
          <w:tcPr>
            <w:tcW w:w="4456" w:type="dxa"/>
          </w:tcPr>
          <w:p w14:paraId="28B08467" w14:textId="77777777" w:rsidR="00BD182E" w:rsidRPr="00C1205D" w:rsidRDefault="00BD182E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Grad Garešnica</w:t>
            </w:r>
          </w:p>
        </w:tc>
        <w:tc>
          <w:tcPr>
            <w:tcW w:w="2977" w:type="dxa"/>
          </w:tcPr>
          <w:p w14:paraId="16D42429" w14:textId="30CA6861" w:rsidR="00BD182E" w:rsidRPr="00C1205D" w:rsidRDefault="00103436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-1.091.759,29</w:t>
            </w:r>
          </w:p>
        </w:tc>
      </w:tr>
      <w:tr w:rsidR="00BD182E" w:rsidRPr="00C1205D" w14:paraId="75060AF7" w14:textId="77777777" w:rsidTr="00873D9A">
        <w:tc>
          <w:tcPr>
            <w:tcW w:w="4456" w:type="dxa"/>
          </w:tcPr>
          <w:p w14:paraId="23CBCE53" w14:textId="77777777" w:rsidR="00BD182E" w:rsidRPr="00C1205D" w:rsidRDefault="00BD182E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Javna vatrogasna postrojba</w:t>
            </w:r>
          </w:p>
        </w:tc>
        <w:tc>
          <w:tcPr>
            <w:tcW w:w="2977" w:type="dxa"/>
          </w:tcPr>
          <w:p w14:paraId="5CB709F6" w14:textId="13536968" w:rsidR="00BD182E" w:rsidRPr="00C1205D" w:rsidRDefault="005335AC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9.634,52</w:t>
            </w:r>
          </w:p>
        </w:tc>
      </w:tr>
      <w:tr w:rsidR="00BD182E" w:rsidRPr="00C1205D" w14:paraId="31C02874" w14:textId="77777777" w:rsidTr="00873D9A">
        <w:tc>
          <w:tcPr>
            <w:tcW w:w="4456" w:type="dxa"/>
          </w:tcPr>
          <w:p w14:paraId="03DF9574" w14:textId="77777777" w:rsidR="00BD182E" w:rsidRPr="00C1205D" w:rsidRDefault="00BD182E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Dječji vrtić „Maslačak“</w:t>
            </w:r>
          </w:p>
        </w:tc>
        <w:tc>
          <w:tcPr>
            <w:tcW w:w="2977" w:type="dxa"/>
          </w:tcPr>
          <w:p w14:paraId="33753006" w14:textId="3D70E93B" w:rsidR="00BD182E" w:rsidRPr="00C1205D" w:rsidRDefault="00103436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29.799,77</w:t>
            </w:r>
          </w:p>
        </w:tc>
      </w:tr>
      <w:tr w:rsidR="00BD182E" w:rsidRPr="00C1205D" w14:paraId="77756F37" w14:textId="77777777" w:rsidTr="00873D9A">
        <w:tc>
          <w:tcPr>
            <w:tcW w:w="4456" w:type="dxa"/>
          </w:tcPr>
          <w:p w14:paraId="33DCAE8D" w14:textId="77777777" w:rsidR="00BD182E" w:rsidRPr="00C1205D" w:rsidRDefault="00BD182E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Hrvatska knjižnica i čitaonica</w:t>
            </w:r>
          </w:p>
        </w:tc>
        <w:tc>
          <w:tcPr>
            <w:tcW w:w="2977" w:type="dxa"/>
          </w:tcPr>
          <w:p w14:paraId="34212AD8" w14:textId="73A832F2" w:rsidR="00BD182E" w:rsidRPr="00C1205D" w:rsidRDefault="00103436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9.470,70</w:t>
            </w:r>
          </w:p>
        </w:tc>
      </w:tr>
      <w:tr w:rsidR="004D6EE5" w:rsidRPr="00C1205D" w14:paraId="68C66B3D" w14:textId="77777777" w:rsidTr="00873D9A">
        <w:tc>
          <w:tcPr>
            <w:tcW w:w="4456" w:type="dxa"/>
          </w:tcPr>
          <w:p w14:paraId="67A4D3B5" w14:textId="4F1A7E09" w:rsidR="004D6EE5" w:rsidRPr="00C1205D" w:rsidRDefault="004D6EE5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Javna ustanova Garešnica</w:t>
            </w:r>
          </w:p>
        </w:tc>
        <w:tc>
          <w:tcPr>
            <w:tcW w:w="2977" w:type="dxa"/>
          </w:tcPr>
          <w:p w14:paraId="395ABB0B" w14:textId="04C6FD91" w:rsidR="004D6EE5" w:rsidRPr="00C1205D" w:rsidRDefault="00103436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5.401,79</w:t>
            </w:r>
          </w:p>
        </w:tc>
      </w:tr>
      <w:tr w:rsidR="00B6366A" w:rsidRPr="00C1205D" w14:paraId="0466C4A2" w14:textId="77777777" w:rsidTr="00873D9A">
        <w:tc>
          <w:tcPr>
            <w:tcW w:w="4456" w:type="dxa"/>
          </w:tcPr>
          <w:p w14:paraId="6EF210DA" w14:textId="2687D923" w:rsidR="00B6366A" w:rsidRPr="00C1205D" w:rsidRDefault="00B6366A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Osnovna škola Garešnica</w:t>
            </w:r>
          </w:p>
        </w:tc>
        <w:tc>
          <w:tcPr>
            <w:tcW w:w="2977" w:type="dxa"/>
          </w:tcPr>
          <w:p w14:paraId="577D7E65" w14:textId="1A8F08BA" w:rsidR="00B6366A" w:rsidRPr="00C1205D" w:rsidRDefault="00A01166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93136A">
              <w:rPr>
                <w:rFonts w:asciiTheme="minorHAnsi" w:hAnsiTheme="minorHAnsi" w:cstheme="minorHAnsi"/>
              </w:rPr>
              <w:t>204.331,47</w:t>
            </w:r>
          </w:p>
        </w:tc>
      </w:tr>
      <w:tr w:rsidR="00B6366A" w:rsidRPr="00C1205D" w14:paraId="013FBF30" w14:textId="77777777" w:rsidTr="00873D9A">
        <w:tc>
          <w:tcPr>
            <w:tcW w:w="4456" w:type="dxa"/>
          </w:tcPr>
          <w:p w14:paraId="469A0E02" w14:textId="6D379207" w:rsidR="00B6366A" w:rsidRPr="00C1205D" w:rsidRDefault="00B6366A" w:rsidP="00873D9A">
            <w:pPr>
              <w:jc w:val="both"/>
              <w:rPr>
                <w:rFonts w:asciiTheme="minorHAnsi" w:hAnsiTheme="minorHAnsi" w:cstheme="minorHAnsi"/>
              </w:rPr>
            </w:pPr>
            <w:r w:rsidRPr="00C1205D">
              <w:rPr>
                <w:rFonts w:asciiTheme="minorHAnsi" w:hAnsiTheme="minorHAnsi" w:cstheme="minorHAnsi"/>
              </w:rPr>
              <w:t>Osnovna škola Trnovitički Popovac</w:t>
            </w:r>
          </w:p>
        </w:tc>
        <w:tc>
          <w:tcPr>
            <w:tcW w:w="2977" w:type="dxa"/>
          </w:tcPr>
          <w:p w14:paraId="1F1845F0" w14:textId="5695300F" w:rsidR="00B6366A" w:rsidRPr="00C1205D" w:rsidRDefault="005335AC" w:rsidP="00873D9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-48.762,94</w:t>
            </w:r>
          </w:p>
        </w:tc>
      </w:tr>
      <w:tr w:rsidR="00BD182E" w:rsidRPr="00C1205D" w14:paraId="0E0AB8F4" w14:textId="77777777" w:rsidTr="00873D9A">
        <w:tc>
          <w:tcPr>
            <w:tcW w:w="4456" w:type="dxa"/>
          </w:tcPr>
          <w:p w14:paraId="6F388D82" w14:textId="3D0A423A" w:rsidR="00BD182E" w:rsidRPr="00C1205D" w:rsidRDefault="005335AC" w:rsidP="00873D9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VIŠAK /</w:t>
            </w:r>
            <w:r w:rsidR="00A01166">
              <w:rPr>
                <w:rFonts w:asciiTheme="minorHAnsi" w:hAnsiTheme="minorHAnsi" w:cstheme="minorHAnsi"/>
                <w:b/>
              </w:rPr>
              <w:t>MANJAK</w:t>
            </w:r>
          </w:p>
        </w:tc>
        <w:tc>
          <w:tcPr>
            <w:tcW w:w="2977" w:type="dxa"/>
          </w:tcPr>
          <w:p w14:paraId="6799B03B" w14:textId="39E28C51" w:rsidR="00BD182E" w:rsidRPr="00C1205D" w:rsidRDefault="005335AC" w:rsidP="00873D9A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-1.290.546,92</w:t>
            </w:r>
          </w:p>
        </w:tc>
      </w:tr>
    </w:tbl>
    <w:p w14:paraId="4C66233C" w14:textId="77777777" w:rsidR="00BD182E" w:rsidRDefault="00BD182E" w:rsidP="00BD182E">
      <w:pPr>
        <w:jc w:val="both"/>
        <w:rPr>
          <w:rFonts w:asciiTheme="minorHAnsi" w:hAnsiTheme="minorHAnsi" w:cstheme="minorHAnsi"/>
        </w:rPr>
      </w:pPr>
    </w:p>
    <w:p w14:paraId="0562904A" w14:textId="26AE13A3" w:rsidR="00BD182E" w:rsidRPr="00C1205D" w:rsidRDefault="00BD182E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b/>
        </w:rPr>
        <w:t>Prihodi poslovanja</w:t>
      </w:r>
      <w:r w:rsidR="00245CD7" w:rsidRPr="00C1205D">
        <w:rPr>
          <w:rFonts w:asciiTheme="minorHAnsi" w:hAnsiTheme="minorHAnsi" w:cstheme="minorHAnsi"/>
          <w:b/>
        </w:rPr>
        <w:t xml:space="preserve"> (6)</w:t>
      </w:r>
      <w:r w:rsidR="00245CD7" w:rsidRPr="00C1205D">
        <w:rPr>
          <w:rFonts w:asciiTheme="minorHAnsi" w:hAnsiTheme="minorHAnsi" w:cstheme="minorHAnsi"/>
          <w:b/>
          <w:color w:val="FF0000"/>
        </w:rPr>
        <w:t xml:space="preserve"> </w:t>
      </w:r>
      <w:r w:rsidRPr="00C1205D">
        <w:rPr>
          <w:rFonts w:asciiTheme="minorHAnsi" w:hAnsiTheme="minorHAnsi" w:cstheme="minorHAnsi"/>
          <w:bCs/>
        </w:rPr>
        <w:t xml:space="preserve">u iznosu od </w:t>
      </w:r>
      <w:r w:rsidR="00A01166">
        <w:rPr>
          <w:rFonts w:asciiTheme="minorHAnsi" w:hAnsiTheme="minorHAnsi" w:cstheme="minorHAnsi"/>
          <w:bCs/>
        </w:rPr>
        <w:t>5.</w:t>
      </w:r>
      <w:r w:rsidR="007434D5">
        <w:rPr>
          <w:rFonts w:asciiTheme="minorHAnsi" w:hAnsiTheme="minorHAnsi" w:cstheme="minorHAnsi"/>
          <w:bCs/>
        </w:rPr>
        <w:t>679.893,92</w:t>
      </w:r>
      <w:r w:rsidR="008F5105" w:rsidRPr="00C1205D">
        <w:rPr>
          <w:rFonts w:asciiTheme="minorHAnsi" w:hAnsiTheme="minorHAnsi" w:cstheme="minorHAnsi"/>
          <w:bCs/>
        </w:rPr>
        <w:t xml:space="preserve"> eura</w:t>
      </w:r>
      <w:r w:rsidRPr="00C1205D">
        <w:rPr>
          <w:rFonts w:asciiTheme="minorHAnsi" w:hAnsiTheme="minorHAnsi" w:cstheme="minorHAnsi"/>
        </w:rPr>
        <w:t xml:space="preserve"> bilježe </w:t>
      </w:r>
      <w:r w:rsidR="008F5105" w:rsidRPr="00C1205D">
        <w:rPr>
          <w:rFonts w:asciiTheme="minorHAnsi" w:hAnsiTheme="minorHAnsi" w:cstheme="minorHAnsi"/>
        </w:rPr>
        <w:t>povećanje</w:t>
      </w:r>
      <w:r w:rsidRPr="00C1205D">
        <w:rPr>
          <w:rFonts w:asciiTheme="minorHAnsi" w:hAnsiTheme="minorHAnsi" w:cstheme="minorHAnsi"/>
        </w:rPr>
        <w:t xml:space="preserve"> u iznosu od </w:t>
      </w:r>
      <w:r w:rsidR="007434D5">
        <w:rPr>
          <w:rFonts w:asciiTheme="minorHAnsi" w:hAnsiTheme="minorHAnsi" w:cstheme="minorHAnsi"/>
        </w:rPr>
        <w:t>5,99</w:t>
      </w:r>
      <w:r w:rsidRPr="00C1205D">
        <w:rPr>
          <w:rFonts w:asciiTheme="minorHAnsi" w:hAnsiTheme="minorHAnsi" w:cstheme="minorHAnsi"/>
        </w:rPr>
        <w:t xml:space="preserve">% u odnosu na prošlu proračunsku godinu, a izvršenje proračuna tekuće godine iznosi </w:t>
      </w:r>
      <w:r w:rsidR="00A01166">
        <w:rPr>
          <w:rFonts w:asciiTheme="minorHAnsi" w:hAnsiTheme="minorHAnsi" w:cstheme="minorHAnsi"/>
        </w:rPr>
        <w:t>4</w:t>
      </w:r>
      <w:r w:rsidR="007434D5">
        <w:rPr>
          <w:rFonts w:asciiTheme="minorHAnsi" w:hAnsiTheme="minorHAnsi" w:cstheme="minorHAnsi"/>
        </w:rPr>
        <w:t>0,06</w:t>
      </w:r>
      <w:r w:rsidRPr="00C1205D">
        <w:rPr>
          <w:rFonts w:asciiTheme="minorHAnsi" w:hAnsiTheme="minorHAnsi" w:cstheme="minorHAnsi"/>
        </w:rPr>
        <w:t xml:space="preserve">%. </w:t>
      </w:r>
      <w:r w:rsidR="008F5105" w:rsidRPr="00C1205D">
        <w:rPr>
          <w:rFonts w:asciiTheme="minorHAnsi" w:hAnsiTheme="minorHAnsi" w:cstheme="minorHAnsi"/>
        </w:rPr>
        <w:t>Najveći u</w:t>
      </w:r>
      <w:r w:rsidRPr="00C1205D">
        <w:rPr>
          <w:rFonts w:asciiTheme="minorHAnsi" w:hAnsiTheme="minorHAnsi" w:cstheme="minorHAnsi"/>
        </w:rPr>
        <w:t xml:space="preserve">zrok </w:t>
      </w:r>
      <w:r w:rsidR="008F5105" w:rsidRPr="00C1205D">
        <w:rPr>
          <w:rFonts w:asciiTheme="minorHAnsi" w:hAnsiTheme="minorHAnsi" w:cstheme="minorHAnsi"/>
        </w:rPr>
        <w:t>povećanja prihoda je</w:t>
      </w:r>
      <w:r w:rsidR="00120E15" w:rsidRPr="00C1205D">
        <w:rPr>
          <w:rFonts w:asciiTheme="minorHAnsi" w:hAnsiTheme="minorHAnsi" w:cstheme="minorHAnsi"/>
        </w:rPr>
        <w:t xml:space="preserve"> povećanje prihoda od </w:t>
      </w:r>
      <w:r w:rsidR="007434D5">
        <w:rPr>
          <w:rFonts w:asciiTheme="minorHAnsi" w:hAnsiTheme="minorHAnsi" w:cstheme="minorHAnsi"/>
        </w:rPr>
        <w:t>poreza i prihoda od imovine (prihodi od zakupa)</w:t>
      </w:r>
      <w:r w:rsidR="00FA3EE1">
        <w:rPr>
          <w:rFonts w:asciiTheme="minorHAnsi" w:hAnsiTheme="minorHAnsi" w:cstheme="minorHAnsi"/>
        </w:rPr>
        <w:t>.</w:t>
      </w:r>
      <w:r w:rsidR="00FA6965" w:rsidRPr="00C1205D">
        <w:rPr>
          <w:rFonts w:asciiTheme="minorHAnsi" w:hAnsiTheme="minorHAnsi" w:cstheme="minorHAnsi"/>
        </w:rPr>
        <w:t xml:space="preserve"> </w:t>
      </w:r>
    </w:p>
    <w:p w14:paraId="219BBC3D" w14:textId="624AECD6" w:rsidR="00F22F90" w:rsidRPr="00C1205D" w:rsidRDefault="00F22F90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  <w:u w:val="single"/>
        </w:rPr>
        <w:t xml:space="preserve">Prihodi od poreza (61) </w:t>
      </w:r>
      <w:r w:rsidRPr="00C1205D">
        <w:rPr>
          <w:rFonts w:asciiTheme="minorHAnsi" w:hAnsiTheme="minorHAnsi" w:cstheme="minorHAnsi"/>
        </w:rPr>
        <w:t xml:space="preserve">iznose </w:t>
      </w:r>
      <w:r w:rsidR="007434D5">
        <w:rPr>
          <w:rFonts w:asciiTheme="minorHAnsi" w:hAnsiTheme="minorHAnsi" w:cstheme="minorHAnsi"/>
        </w:rPr>
        <w:t>1.224.890,57</w:t>
      </w:r>
      <w:r w:rsidRPr="00C1205D">
        <w:rPr>
          <w:rFonts w:asciiTheme="minorHAnsi" w:hAnsiTheme="minorHAnsi" w:cstheme="minorHAnsi"/>
        </w:rPr>
        <w:t xml:space="preserve"> eura i veći su za </w:t>
      </w:r>
      <w:r w:rsidR="007434D5">
        <w:rPr>
          <w:rFonts w:asciiTheme="minorHAnsi" w:hAnsiTheme="minorHAnsi" w:cstheme="minorHAnsi"/>
        </w:rPr>
        <w:t>14,54</w:t>
      </w:r>
      <w:r w:rsidRPr="00C1205D">
        <w:rPr>
          <w:rFonts w:asciiTheme="minorHAnsi" w:hAnsiTheme="minorHAnsi" w:cstheme="minorHAnsi"/>
        </w:rPr>
        <w:t>% u odnosu na prošlu godinu. Isti se sastoje od:</w:t>
      </w:r>
    </w:p>
    <w:p w14:paraId="6CC45596" w14:textId="271A3B8A" w:rsidR="007E398F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 xml:space="preserve">Prihod od poreza i prireza na dohodak </w:t>
      </w:r>
      <w:r w:rsidR="008602A1" w:rsidRPr="00C1205D">
        <w:rPr>
          <w:rFonts w:asciiTheme="minorHAnsi" w:hAnsiTheme="minorHAnsi" w:cstheme="minorHAnsi"/>
          <w:i/>
          <w:iCs/>
        </w:rPr>
        <w:t>(611)</w:t>
      </w:r>
      <w:r w:rsidR="008602A1" w:rsidRPr="00C1205D">
        <w:rPr>
          <w:rFonts w:asciiTheme="minorHAnsi" w:hAnsiTheme="minorHAnsi" w:cstheme="minorHAnsi"/>
        </w:rPr>
        <w:t xml:space="preserve"> </w:t>
      </w:r>
      <w:r w:rsidRPr="00C1205D">
        <w:rPr>
          <w:rFonts w:asciiTheme="minorHAnsi" w:hAnsiTheme="minorHAnsi" w:cstheme="minorHAnsi"/>
        </w:rPr>
        <w:t xml:space="preserve">iznosi </w:t>
      </w:r>
      <w:r w:rsidR="007434D5">
        <w:rPr>
          <w:rFonts w:asciiTheme="minorHAnsi" w:hAnsiTheme="minorHAnsi" w:cstheme="minorHAnsi"/>
        </w:rPr>
        <w:t>1.</w:t>
      </w:r>
      <w:r w:rsidR="00121175">
        <w:rPr>
          <w:rFonts w:asciiTheme="minorHAnsi" w:hAnsiTheme="minorHAnsi" w:cstheme="minorHAnsi"/>
        </w:rPr>
        <w:t>173.973,27</w:t>
      </w:r>
      <w:r w:rsidR="00120E15" w:rsidRPr="00C1205D">
        <w:rPr>
          <w:rFonts w:asciiTheme="minorHAnsi" w:hAnsiTheme="minorHAnsi" w:cstheme="minorHAnsi"/>
        </w:rPr>
        <w:t xml:space="preserve"> eura</w:t>
      </w:r>
      <w:r w:rsidRPr="00C1205D">
        <w:rPr>
          <w:rFonts w:asciiTheme="minorHAnsi" w:hAnsiTheme="minorHAnsi" w:cstheme="minorHAnsi"/>
        </w:rPr>
        <w:t xml:space="preserve"> što u odnosu na prošlu godinu iznosi </w:t>
      </w:r>
      <w:r w:rsidR="006F6B5B" w:rsidRPr="00C1205D">
        <w:rPr>
          <w:rFonts w:asciiTheme="minorHAnsi" w:hAnsiTheme="minorHAnsi" w:cstheme="minorHAnsi"/>
        </w:rPr>
        <w:t>povećanje</w:t>
      </w:r>
      <w:r w:rsidRPr="00C1205D">
        <w:rPr>
          <w:rFonts w:asciiTheme="minorHAnsi" w:hAnsiTheme="minorHAnsi" w:cstheme="minorHAnsi"/>
        </w:rPr>
        <w:t xml:space="preserve"> u iznosu od </w:t>
      </w:r>
      <w:r w:rsidR="007434D5">
        <w:rPr>
          <w:rFonts w:asciiTheme="minorHAnsi" w:hAnsiTheme="minorHAnsi" w:cstheme="minorHAnsi"/>
        </w:rPr>
        <w:t>14,86</w:t>
      </w:r>
      <w:r w:rsidRPr="00C1205D">
        <w:rPr>
          <w:rFonts w:asciiTheme="minorHAnsi" w:hAnsiTheme="minorHAnsi" w:cstheme="minorHAnsi"/>
        </w:rPr>
        <w:t>%</w:t>
      </w:r>
      <w:r w:rsidR="00120E15" w:rsidRPr="00C1205D">
        <w:rPr>
          <w:rFonts w:asciiTheme="minorHAnsi" w:hAnsiTheme="minorHAnsi" w:cstheme="minorHAnsi"/>
        </w:rPr>
        <w:t>. Isti se sastoji od</w:t>
      </w:r>
      <w:r w:rsidR="007E398F" w:rsidRPr="00C1205D">
        <w:rPr>
          <w:rFonts w:asciiTheme="minorHAnsi" w:hAnsiTheme="minorHAnsi" w:cstheme="minorHAnsi"/>
        </w:rPr>
        <w:t>:</w:t>
      </w:r>
    </w:p>
    <w:p w14:paraId="6A4AF475" w14:textId="0FE9E6A3" w:rsidR="007E398F" w:rsidRPr="00C1205D" w:rsidRDefault="007E398F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>-</w:t>
      </w:r>
      <w:r w:rsidR="00120E15" w:rsidRPr="00C1205D">
        <w:rPr>
          <w:rFonts w:asciiTheme="minorHAnsi" w:hAnsiTheme="minorHAnsi" w:cstheme="minorHAnsi"/>
        </w:rPr>
        <w:t xml:space="preserve"> prihoda od poreza na dohodak u iznosu od</w:t>
      </w:r>
      <w:r w:rsidRPr="00C1205D">
        <w:rPr>
          <w:rFonts w:asciiTheme="minorHAnsi" w:hAnsiTheme="minorHAnsi" w:cstheme="minorHAnsi"/>
        </w:rPr>
        <w:t xml:space="preserve"> </w:t>
      </w:r>
      <w:r w:rsidR="00121175">
        <w:rPr>
          <w:rFonts w:asciiTheme="minorHAnsi" w:hAnsiTheme="minorHAnsi" w:cstheme="minorHAnsi"/>
        </w:rPr>
        <w:t>1.112.958,33</w:t>
      </w:r>
      <w:r w:rsidRPr="00C1205D">
        <w:rPr>
          <w:rFonts w:asciiTheme="minorHAnsi" w:hAnsiTheme="minorHAnsi" w:cstheme="minorHAnsi"/>
        </w:rPr>
        <w:t xml:space="preserve"> eura</w:t>
      </w:r>
      <w:r w:rsidR="00120E15" w:rsidRPr="00C1205D">
        <w:rPr>
          <w:rFonts w:asciiTheme="minorHAnsi" w:hAnsiTheme="minorHAnsi" w:cstheme="minorHAnsi"/>
        </w:rPr>
        <w:t>,</w:t>
      </w:r>
    </w:p>
    <w:p w14:paraId="7FA9F8DC" w14:textId="32A797CD" w:rsidR="007E398F" w:rsidRPr="00C1205D" w:rsidRDefault="007E398F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>-</w:t>
      </w:r>
      <w:r w:rsidR="00120E15" w:rsidRPr="00C1205D">
        <w:rPr>
          <w:rFonts w:asciiTheme="minorHAnsi" w:hAnsiTheme="minorHAnsi" w:cstheme="minorHAnsi"/>
        </w:rPr>
        <w:t xml:space="preserve"> udio za decentralizirane funkcije</w:t>
      </w:r>
      <w:r w:rsidR="002E1E31">
        <w:rPr>
          <w:rFonts w:asciiTheme="minorHAnsi" w:hAnsiTheme="minorHAnsi" w:cstheme="minorHAnsi"/>
        </w:rPr>
        <w:t xml:space="preserve"> u iznosu od 61.014,94 eura</w:t>
      </w:r>
      <w:r w:rsidR="00120E15" w:rsidRPr="00C1205D">
        <w:rPr>
          <w:rFonts w:asciiTheme="minorHAnsi" w:hAnsiTheme="minorHAnsi" w:cstheme="minorHAnsi"/>
        </w:rPr>
        <w:t xml:space="preserve">: školstvo u iznosu od </w:t>
      </w:r>
      <w:r w:rsidR="002E1E31" w:rsidRPr="002E1E31">
        <w:rPr>
          <w:rFonts w:asciiTheme="minorHAnsi" w:hAnsiTheme="minorHAnsi" w:cstheme="minorHAnsi"/>
        </w:rPr>
        <w:t>39.974,97</w:t>
      </w:r>
      <w:r w:rsidR="00120E15" w:rsidRPr="00C1205D">
        <w:rPr>
          <w:rFonts w:asciiTheme="minorHAnsi" w:hAnsiTheme="minorHAnsi" w:cstheme="minorHAnsi"/>
        </w:rPr>
        <w:t xml:space="preserve"> eura i vatrogastvo u iznosu od </w:t>
      </w:r>
      <w:r w:rsidR="002E1E31" w:rsidRPr="002E1E31">
        <w:rPr>
          <w:rFonts w:asciiTheme="minorHAnsi" w:hAnsiTheme="minorHAnsi" w:cstheme="minorHAnsi"/>
        </w:rPr>
        <w:t>21.039,97</w:t>
      </w:r>
      <w:r w:rsidRPr="00C1205D">
        <w:rPr>
          <w:rFonts w:asciiTheme="minorHAnsi" w:hAnsiTheme="minorHAnsi" w:cstheme="minorHAnsi"/>
        </w:rPr>
        <w:t xml:space="preserve"> eura</w:t>
      </w:r>
      <w:r w:rsidR="00FA3EE1">
        <w:rPr>
          <w:rFonts w:asciiTheme="minorHAnsi" w:hAnsiTheme="minorHAnsi" w:cstheme="minorHAnsi"/>
        </w:rPr>
        <w:t>.</w:t>
      </w:r>
    </w:p>
    <w:p w14:paraId="192ACD14" w14:textId="77777777" w:rsidR="007E398F" w:rsidRPr="00C1205D" w:rsidRDefault="007E398F" w:rsidP="007E398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82EFB72" w14:textId="66E86344" w:rsidR="00BD182E" w:rsidRPr="00C1205D" w:rsidRDefault="00BD182E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 xml:space="preserve">Porezi na imovinu </w:t>
      </w:r>
      <w:r w:rsidR="008602A1" w:rsidRPr="00C1205D">
        <w:rPr>
          <w:rFonts w:asciiTheme="minorHAnsi" w:hAnsiTheme="minorHAnsi" w:cstheme="minorHAnsi"/>
          <w:i/>
          <w:iCs/>
        </w:rPr>
        <w:t>(613)</w:t>
      </w:r>
      <w:r w:rsidR="00F22F90" w:rsidRPr="00C1205D">
        <w:rPr>
          <w:rFonts w:asciiTheme="minorHAnsi" w:hAnsiTheme="minorHAnsi" w:cstheme="minorHAnsi"/>
        </w:rPr>
        <w:t xml:space="preserve"> iznose </w:t>
      </w:r>
      <w:r w:rsidR="00121175">
        <w:rPr>
          <w:rFonts w:asciiTheme="minorHAnsi" w:hAnsiTheme="minorHAnsi" w:cstheme="minorHAnsi"/>
        </w:rPr>
        <w:t>49.196,25</w:t>
      </w:r>
      <w:r w:rsidR="00F22F90" w:rsidRPr="00C1205D">
        <w:rPr>
          <w:rFonts w:asciiTheme="minorHAnsi" w:hAnsiTheme="minorHAnsi" w:cstheme="minorHAnsi"/>
        </w:rPr>
        <w:t xml:space="preserve"> eura</w:t>
      </w:r>
      <w:r w:rsidR="007A12E2">
        <w:rPr>
          <w:rFonts w:asciiTheme="minorHAnsi" w:hAnsiTheme="minorHAnsi" w:cstheme="minorHAnsi"/>
        </w:rPr>
        <w:t xml:space="preserve"> i</w:t>
      </w:r>
      <w:r w:rsidR="00121175">
        <w:rPr>
          <w:rFonts w:asciiTheme="minorHAnsi" w:hAnsiTheme="minorHAnsi" w:cstheme="minorHAnsi"/>
        </w:rPr>
        <w:t xml:space="preserve"> bilježe povećanje od 23,99%</w:t>
      </w:r>
      <w:r w:rsidR="00F22F90" w:rsidRPr="00C1205D">
        <w:rPr>
          <w:rFonts w:asciiTheme="minorHAnsi" w:hAnsiTheme="minorHAnsi" w:cstheme="minorHAnsi"/>
        </w:rPr>
        <w:t xml:space="preserve"> </w:t>
      </w:r>
      <w:r w:rsidR="007A12E2">
        <w:rPr>
          <w:rFonts w:asciiTheme="minorHAnsi" w:hAnsiTheme="minorHAnsi" w:cstheme="minorHAnsi"/>
        </w:rPr>
        <w:t>, a</w:t>
      </w:r>
      <w:r w:rsidR="008602A1" w:rsidRPr="00C1205D">
        <w:rPr>
          <w:rFonts w:asciiTheme="minorHAnsi" w:hAnsiTheme="minorHAnsi" w:cstheme="minorHAnsi"/>
        </w:rPr>
        <w:t xml:space="preserve"> </w:t>
      </w:r>
      <w:r w:rsidRPr="00C1205D">
        <w:rPr>
          <w:rFonts w:asciiTheme="minorHAnsi" w:hAnsiTheme="minorHAnsi" w:cstheme="minorHAnsi"/>
        </w:rPr>
        <w:t>sastoje se od</w:t>
      </w:r>
      <w:r w:rsidR="001D1D24" w:rsidRPr="00C1205D">
        <w:rPr>
          <w:rFonts w:asciiTheme="minorHAnsi" w:hAnsiTheme="minorHAnsi" w:cstheme="minorHAnsi"/>
        </w:rPr>
        <w:t xml:space="preserve"> prihoda od</w:t>
      </w:r>
      <w:r w:rsidRPr="00C1205D">
        <w:rPr>
          <w:rFonts w:asciiTheme="minorHAnsi" w:hAnsiTheme="minorHAnsi" w:cstheme="minorHAnsi"/>
        </w:rPr>
        <w:t xml:space="preserve"> poreza na javne površine</w:t>
      </w:r>
      <w:r w:rsidR="001D1D24" w:rsidRPr="00C1205D">
        <w:rPr>
          <w:rFonts w:asciiTheme="minorHAnsi" w:hAnsiTheme="minorHAnsi" w:cstheme="minorHAnsi"/>
        </w:rPr>
        <w:t xml:space="preserve"> i kuće za odmor</w:t>
      </w:r>
      <w:r w:rsidRPr="00C1205D">
        <w:rPr>
          <w:rFonts w:asciiTheme="minorHAnsi" w:hAnsiTheme="minorHAnsi" w:cstheme="minorHAnsi"/>
        </w:rPr>
        <w:t xml:space="preserve"> </w:t>
      </w:r>
      <w:r w:rsidR="00F22F90" w:rsidRPr="00C1205D">
        <w:rPr>
          <w:rFonts w:asciiTheme="minorHAnsi" w:hAnsiTheme="minorHAnsi" w:cstheme="minorHAnsi"/>
        </w:rPr>
        <w:t>u iznosu od</w:t>
      </w:r>
      <w:r w:rsidR="001D1D24" w:rsidRPr="00C1205D">
        <w:rPr>
          <w:rFonts w:asciiTheme="minorHAnsi" w:hAnsiTheme="minorHAnsi" w:cstheme="minorHAnsi"/>
        </w:rPr>
        <w:t xml:space="preserve"> </w:t>
      </w:r>
      <w:r w:rsidR="006C53C4">
        <w:rPr>
          <w:rFonts w:asciiTheme="minorHAnsi" w:hAnsiTheme="minorHAnsi" w:cstheme="minorHAnsi"/>
        </w:rPr>
        <w:t>61,14</w:t>
      </w:r>
      <w:r w:rsidRPr="00C1205D">
        <w:rPr>
          <w:rFonts w:asciiTheme="minorHAnsi" w:hAnsiTheme="minorHAnsi" w:cstheme="minorHAnsi"/>
        </w:rPr>
        <w:t xml:space="preserve"> </w:t>
      </w:r>
      <w:r w:rsidR="007E398F" w:rsidRPr="00C1205D">
        <w:rPr>
          <w:rFonts w:asciiTheme="minorHAnsi" w:hAnsiTheme="minorHAnsi" w:cstheme="minorHAnsi"/>
        </w:rPr>
        <w:t>eura</w:t>
      </w:r>
      <w:r w:rsidRPr="00C1205D">
        <w:rPr>
          <w:rFonts w:asciiTheme="minorHAnsi" w:hAnsiTheme="minorHAnsi" w:cstheme="minorHAnsi"/>
        </w:rPr>
        <w:t xml:space="preserve"> i porez na</w:t>
      </w:r>
      <w:r w:rsidR="006C53C4">
        <w:rPr>
          <w:rFonts w:asciiTheme="minorHAnsi" w:hAnsiTheme="minorHAnsi" w:cstheme="minorHAnsi"/>
        </w:rPr>
        <w:t xml:space="preserve"> promet</w:t>
      </w:r>
      <w:r w:rsidRPr="00C1205D">
        <w:rPr>
          <w:rFonts w:asciiTheme="minorHAnsi" w:hAnsiTheme="minorHAnsi" w:cstheme="minorHAnsi"/>
        </w:rPr>
        <w:t xml:space="preserve"> nekretnin</w:t>
      </w:r>
      <w:r w:rsidR="006C53C4">
        <w:rPr>
          <w:rFonts w:asciiTheme="minorHAnsi" w:hAnsiTheme="minorHAnsi" w:cstheme="minorHAnsi"/>
        </w:rPr>
        <w:t>a</w:t>
      </w:r>
      <w:r w:rsidRPr="00C1205D">
        <w:rPr>
          <w:rFonts w:asciiTheme="minorHAnsi" w:hAnsiTheme="minorHAnsi" w:cstheme="minorHAnsi"/>
        </w:rPr>
        <w:t xml:space="preserve"> u iznosu od </w:t>
      </w:r>
      <w:r w:rsidR="006C53C4">
        <w:rPr>
          <w:rFonts w:asciiTheme="minorHAnsi" w:hAnsiTheme="minorHAnsi" w:cstheme="minorHAnsi"/>
        </w:rPr>
        <w:t>49.</w:t>
      </w:r>
      <w:r w:rsidR="007A12E2">
        <w:rPr>
          <w:rFonts w:asciiTheme="minorHAnsi" w:hAnsiTheme="minorHAnsi" w:cstheme="minorHAnsi"/>
        </w:rPr>
        <w:t>135,11</w:t>
      </w:r>
      <w:r w:rsidR="007E398F" w:rsidRPr="00C1205D">
        <w:rPr>
          <w:rFonts w:asciiTheme="minorHAnsi" w:hAnsiTheme="minorHAnsi" w:cstheme="minorHAnsi"/>
        </w:rPr>
        <w:t xml:space="preserve"> eura</w:t>
      </w:r>
      <w:r w:rsidR="006C53C4">
        <w:rPr>
          <w:rFonts w:asciiTheme="minorHAnsi" w:hAnsiTheme="minorHAnsi" w:cstheme="minorHAnsi"/>
        </w:rPr>
        <w:t>.</w:t>
      </w:r>
    </w:p>
    <w:p w14:paraId="6D71413E" w14:textId="0E5A4A0E" w:rsidR="00BD182E" w:rsidRPr="00C1205D" w:rsidRDefault="00BD182E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>Porezi na robu i usluge (</w:t>
      </w:r>
      <w:r w:rsidR="00A179A8" w:rsidRPr="00C1205D">
        <w:rPr>
          <w:rFonts w:asciiTheme="minorHAnsi" w:hAnsiTheme="minorHAnsi" w:cstheme="minorHAnsi"/>
          <w:i/>
          <w:iCs/>
        </w:rPr>
        <w:t xml:space="preserve">614 - </w:t>
      </w:r>
      <w:r w:rsidRPr="00C1205D">
        <w:rPr>
          <w:rFonts w:asciiTheme="minorHAnsi" w:hAnsiTheme="minorHAnsi" w:cstheme="minorHAnsi"/>
          <w:i/>
          <w:iCs/>
        </w:rPr>
        <w:t>porez na potrošnju i porez na tvrtku)</w:t>
      </w:r>
      <w:r w:rsidRPr="00C1205D">
        <w:rPr>
          <w:rFonts w:asciiTheme="minorHAnsi" w:hAnsiTheme="minorHAnsi" w:cstheme="minorHAnsi"/>
        </w:rPr>
        <w:t xml:space="preserve">  </w:t>
      </w:r>
      <w:r w:rsidR="00F22F90" w:rsidRPr="00C1205D">
        <w:rPr>
          <w:rFonts w:asciiTheme="minorHAnsi" w:hAnsiTheme="minorHAnsi" w:cstheme="minorHAnsi"/>
        </w:rPr>
        <w:t xml:space="preserve">iznose </w:t>
      </w:r>
      <w:r w:rsidR="006C53C4">
        <w:rPr>
          <w:rFonts w:asciiTheme="minorHAnsi" w:hAnsiTheme="minorHAnsi" w:cstheme="minorHAnsi"/>
        </w:rPr>
        <w:t>1.721,05</w:t>
      </w:r>
      <w:r w:rsidR="00F22F90" w:rsidRPr="00C1205D">
        <w:rPr>
          <w:rFonts w:asciiTheme="minorHAnsi" w:hAnsiTheme="minorHAnsi" w:cstheme="minorHAnsi"/>
        </w:rPr>
        <w:t xml:space="preserve"> eura i </w:t>
      </w:r>
      <w:r w:rsidRPr="00C1205D">
        <w:rPr>
          <w:rFonts w:asciiTheme="minorHAnsi" w:hAnsiTheme="minorHAnsi" w:cstheme="minorHAnsi"/>
        </w:rPr>
        <w:t xml:space="preserve">bilježe </w:t>
      </w:r>
      <w:r w:rsidR="008971E6">
        <w:rPr>
          <w:rFonts w:asciiTheme="minorHAnsi" w:hAnsiTheme="minorHAnsi" w:cstheme="minorHAnsi"/>
        </w:rPr>
        <w:t>pad</w:t>
      </w:r>
      <w:r w:rsidRPr="00C1205D">
        <w:rPr>
          <w:rFonts w:asciiTheme="minorHAnsi" w:hAnsiTheme="minorHAnsi" w:cstheme="minorHAnsi"/>
        </w:rPr>
        <w:t xml:space="preserve"> u odnosu na prošlu godinu u iznosu od </w:t>
      </w:r>
      <w:r w:rsidR="006C53C4">
        <w:rPr>
          <w:rFonts w:asciiTheme="minorHAnsi" w:hAnsiTheme="minorHAnsi" w:cstheme="minorHAnsi"/>
        </w:rPr>
        <w:t>77,63</w:t>
      </w:r>
      <w:r w:rsidRPr="00C1205D">
        <w:rPr>
          <w:rFonts w:asciiTheme="minorHAnsi" w:hAnsiTheme="minorHAnsi" w:cstheme="minorHAnsi"/>
        </w:rPr>
        <w:t>%</w:t>
      </w:r>
      <w:r w:rsidR="007E398F" w:rsidRPr="00C1205D">
        <w:rPr>
          <w:rFonts w:asciiTheme="minorHAnsi" w:hAnsiTheme="minorHAnsi" w:cstheme="minorHAnsi"/>
        </w:rPr>
        <w:t>.</w:t>
      </w:r>
      <w:r w:rsidR="008971E6">
        <w:rPr>
          <w:rFonts w:asciiTheme="minorHAnsi" w:hAnsiTheme="minorHAnsi" w:cstheme="minorHAnsi"/>
        </w:rPr>
        <w:t xml:space="preserve"> Uzrok smanjenja prihoda je </w:t>
      </w:r>
      <w:r w:rsidR="006C53C4">
        <w:rPr>
          <w:rFonts w:asciiTheme="minorHAnsi" w:hAnsiTheme="minorHAnsi" w:cstheme="minorHAnsi"/>
        </w:rPr>
        <w:t>ukidanje</w:t>
      </w:r>
      <w:r w:rsidR="008971E6">
        <w:rPr>
          <w:rFonts w:asciiTheme="minorHAnsi" w:hAnsiTheme="minorHAnsi" w:cstheme="minorHAnsi"/>
        </w:rPr>
        <w:t xml:space="preserve"> poreza na potrošnju temeljem Odluke o gradskim porezima Grada Garešnice („Službeni glasnik Grada Garešnice“ broj 11/23.)</w:t>
      </w:r>
      <w:r w:rsidR="006C53C4">
        <w:rPr>
          <w:rFonts w:asciiTheme="minorHAnsi" w:hAnsiTheme="minorHAnsi" w:cstheme="minorHAnsi"/>
        </w:rPr>
        <w:t xml:space="preserve"> Naplaćenih prihodi odnose se na dugovanja iz proteklih godina.</w:t>
      </w:r>
    </w:p>
    <w:p w14:paraId="2CE0D8E4" w14:textId="7412E828" w:rsidR="00BD182E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  <w:u w:val="single"/>
        </w:rPr>
        <w:t xml:space="preserve">Pomoći iz inozemstva i od subjekata unutar općeg proračuna </w:t>
      </w:r>
      <w:r w:rsidR="008602A1" w:rsidRPr="00C1205D">
        <w:rPr>
          <w:rFonts w:asciiTheme="minorHAnsi" w:hAnsiTheme="minorHAnsi" w:cstheme="minorHAnsi"/>
          <w:i/>
          <w:iCs/>
          <w:u w:val="single"/>
        </w:rPr>
        <w:t>(63)</w:t>
      </w:r>
      <w:r w:rsidR="00A179A8" w:rsidRPr="00C1205D">
        <w:rPr>
          <w:rFonts w:asciiTheme="minorHAnsi" w:hAnsiTheme="minorHAnsi" w:cstheme="minorHAnsi"/>
        </w:rPr>
        <w:t xml:space="preserve"> </w:t>
      </w:r>
      <w:r w:rsidRPr="00C1205D">
        <w:rPr>
          <w:rFonts w:asciiTheme="minorHAnsi" w:hAnsiTheme="minorHAnsi" w:cstheme="minorHAnsi"/>
        </w:rPr>
        <w:t>iznose</w:t>
      </w:r>
      <w:r w:rsidR="008971E6">
        <w:rPr>
          <w:rFonts w:asciiTheme="minorHAnsi" w:hAnsiTheme="minorHAnsi" w:cstheme="minorHAnsi"/>
        </w:rPr>
        <w:t xml:space="preserve"> 3.</w:t>
      </w:r>
      <w:r w:rsidR="006C53C4">
        <w:rPr>
          <w:rFonts w:asciiTheme="minorHAnsi" w:hAnsiTheme="minorHAnsi" w:cstheme="minorHAnsi"/>
        </w:rPr>
        <w:t>761.080,63</w:t>
      </w:r>
      <w:r w:rsidR="007E398F" w:rsidRPr="00C1205D">
        <w:rPr>
          <w:rFonts w:asciiTheme="minorHAnsi" w:hAnsiTheme="minorHAnsi" w:cstheme="minorHAnsi"/>
        </w:rPr>
        <w:t xml:space="preserve"> eura</w:t>
      </w:r>
      <w:r w:rsidRPr="00C1205D">
        <w:rPr>
          <w:rFonts w:asciiTheme="minorHAnsi" w:hAnsiTheme="minorHAnsi" w:cstheme="minorHAnsi"/>
        </w:rPr>
        <w:t xml:space="preserve"> i </w:t>
      </w:r>
      <w:r w:rsidR="007E398F" w:rsidRPr="00C1205D">
        <w:rPr>
          <w:rFonts w:asciiTheme="minorHAnsi" w:hAnsiTheme="minorHAnsi" w:cstheme="minorHAnsi"/>
        </w:rPr>
        <w:t>povećane</w:t>
      </w:r>
      <w:r w:rsidRPr="00C1205D">
        <w:rPr>
          <w:rFonts w:asciiTheme="minorHAnsi" w:hAnsiTheme="minorHAnsi" w:cstheme="minorHAnsi"/>
        </w:rPr>
        <w:t xml:space="preserve"> su u odnosu na isto razdoblje prošle godinu za </w:t>
      </w:r>
      <w:r w:rsidR="006C53C4">
        <w:rPr>
          <w:rFonts w:asciiTheme="minorHAnsi" w:hAnsiTheme="minorHAnsi" w:cstheme="minorHAnsi"/>
        </w:rPr>
        <w:t>4,34</w:t>
      </w:r>
      <w:r w:rsidRPr="00C1205D">
        <w:rPr>
          <w:rFonts w:asciiTheme="minorHAnsi" w:hAnsiTheme="minorHAnsi" w:cstheme="minorHAnsi"/>
        </w:rPr>
        <w:t xml:space="preserve">% i iznose </w:t>
      </w:r>
      <w:r w:rsidR="006C53C4">
        <w:rPr>
          <w:rFonts w:asciiTheme="minorHAnsi" w:hAnsiTheme="minorHAnsi" w:cstheme="minorHAnsi"/>
        </w:rPr>
        <w:t>38,51</w:t>
      </w:r>
      <w:r w:rsidRPr="00C1205D">
        <w:rPr>
          <w:rFonts w:asciiTheme="minorHAnsi" w:hAnsiTheme="minorHAnsi" w:cstheme="minorHAnsi"/>
        </w:rPr>
        <w:t>% izvršenja tekućeg proračuna.</w:t>
      </w:r>
      <w:r w:rsidR="0015340D" w:rsidRPr="00C1205D">
        <w:rPr>
          <w:rFonts w:asciiTheme="minorHAnsi" w:hAnsiTheme="minorHAnsi" w:cstheme="minorHAnsi"/>
        </w:rPr>
        <w:t xml:space="preserve"> Prihodi od pomoći  sastoje se od prihoda Grada Garešnice u iznosu od </w:t>
      </w:r>
      <w:r w:rsidR="009965E6">
        <w:rPr>
          <w:rFonts w:asciiTheme="minorHAnsi" w:hAnsiTheme="minorHAnsi" w:cstheme="minorHAnsi"/>
        </w:rPr>
        <w:t>1.</w:t>
      </w:r>
      <w:r w:rsidR="00421A54">
        <w:rPr>
          <w:rFonts w:asciiTheme="minorHAnsi" w:hAnsiTheme="minorHAnsi" w:cstheme="minorHAnsi"/>
        </w:rPr>
        <w:t>895.117,62</w:t>
      </w:r>
      <w:r w:rsidR="0015340D" w:rsidRPr="00C1205D">
        <w:rPr>
          <w:rFonts w:asciiTheme="minorHAnsi" w:hAnsiTheme="minorHAnsi" w:cstheme="minorHAnsi"/>
        </w:rPr>
        <w:t xml:space="preserve"> eura i proračunskih korisnika u iznosu od </w:t>
      </w:r>
      <w:r w:rsidR="009965E6">
        <w:rPr>
          <w:rFonts w:asciiTheme="minorHAnsi" w:hAnsiTheme="minorHAnsi" w:cstheme="minorHAnsi"/>
        </w:rPr>
        <w:t>1.</w:t>
      </w:r>
      <w:r w:rsidR="00421A54">
        <w:rPr>
          <w:rFonts w:asciiTheme="minorHAnsi" w:hAnsiTheme="minorHAnsi" w:cstheme="minorHAnsi"/>
        </w:rPr>
        <w:t>865.963,01</w:t>
      </w:r>
      <w:r w:rsidR="0015340D" w:rsidRPr="00C1205D">
        <w:rPr>
          <w:rFonts w:asciiTheme="minorHAnsi" w:hAnsiTheme="minorHAnsi" w:cstheme="minorHAnsi"/>
        </w:rPr>
        <w:t xml:space="preserve"> eura i to:</w:t>
      </w:r>
    </w:p>
    <w:p w14:paraId="3C43B525" w14:textId="1B390110" w:rsidR="0015340D" w:rsidRPr="00C1205D" w:rsidRDefault="0015340D" w:rsidP="00106FBB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Javna vatrogasna postrojba u iznosu od 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33.444,84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eura,</w:t>
      </w:r>
    </w:p>
    <w:p w14:paraId="178C2675" w14:textId="41086C0A" w:rsidR="0015340D" w:rsidRPr="00C1205D" w:rsidRDefault="0015340D" w:rsidP="00106FBB">
      <w:pPr>
        <w:pStyle w:val="Odlomakpopisa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Dječji vrtić Maslačak u iznosu od </w:t>
      </w:r>
      <w:r w:rsidR="009965E6">
        <w:rPr>
          <w:rFonts w:asciiTheme="minorHAnsi" w:hAnsiTheme="minorHAnsi" w:cstheme="minorHAnsi"/>
          <w:sz w:val="22"/>
          <w:szCs w:val="22"/>
          <w:lang w:eastAsia="en-US"/>
        </w:rPr>
        <w:t>13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3.253,17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eura,</w:t>
      </w:r>
    </w:p>
    <w:p w14:paraId="1536E411" w14:textId="1D8DE95D" w:rsidR="0015340D" w:rsidRPr="00C1205D" w:rsidRDefault="0015340D" w:rsidP="00106FBB">
      <w:pPr>
        <w:pStyle w:val="Odlomakpopisa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Hrvatska knjižnica i čitaonica u iznosu od 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38.3</w:t>
      </w:r>
      <w:r w:rsidR="007A12E2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1,77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eura,</w:t>
      </w:r>
    </w:p>
    <w:p w14:paraId="605F56AE" w14:textId="4EF64684" w:rsidR="0015340D" w:rsidRPr="00C1205D" w:rsidRDefault="0015340D" w:rsidP="00106FBB">
      <w:pPr>
        <w:pStyle w:val="Odlomakpopisa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Osnovna škola Garešnica u iznosu </w:t>
      </w:r>
      <w:r w:rsidR="00421A54" w:rsidRPr="00C1205D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d 1.349.392,72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eura,</w:t>
      </w:r>
    </w:p>
    <w:p w14:paraId="327F8928" w14:textId="5DB1418A" w:rsidR="0015340D" w:rsidRDefault="0015340D" w:rsidP="00106FBB">
      <w:pPr>
        <w:pStyle w:val="Odlomakpopisa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Osnovna škola Trnovitički Popovac u iznosu od 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310.160,51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</w:t>
      </w:r>
      <w:r w:rsidR="00421A54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5D314F04" w14:textId="1ABAF502" w:rsidR="00421A54" w:rsidRPr="00C1205D" w:rsidRDefault="00421A54" w:rsidP="00106FBB">
      <w:pPr>
        <w:pStyle w:val="Odlomakpopisa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Javna ustanova Garešnica u iznosu od 1.400,00 eura.</w:t>
      </w:r>
    </w:p>
    <w:p w14:paraId="48ED75EC" w14:textId="7EED927A" w:rsidR="00BD182E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>Pomoći iz  proračuna</w:t>
      </w:r>
      <w:r w:rsidR="00A179A8" w:rsidRPr="00C1205D">
        <w:rPr>
          <w:rFonts w:asciiTheme="minorHAnsi" w:hAnsiTheme="minorHAnsi" w:cstheme="minorHAnsi"/>
          <w:i/>
          <w:iCs/>
        </w:rPr>
        <w:t xml:space="preserve"> ( 633)</w:t>
      </w:r>
      <w:r w:rsidRPr="00C1205D">
        <w:rPr>
          <w:rFonts w:asciiTheme="minorHAnsi" w:hAnsiTheme="minorHAnsi" w:cstheme="minorHAnsi"/>
          <w:i/>
          <w:iCs/>
        </w:rPr>
        <w:t xml:space="preserve"> </w:t>
      </w:r>
      <w:r w:rsidRPr="00C1205D">
        <w:rPr>
          <w:rFonts w:asciiTheme="minorHAnsi" w:hAnsiTheme="minorHAnsi" w:cstheme="minorHAnsi"/>
        </w:rPr>
        <w:t xml:space="preserve">iznose </w:t>
      </w:r>
      <w:r w:rsidR="00421A54">
        <w:rPr>
          <w:rFonts w:asciiTheme="minorHAnsi" w:hAnsiTheme="minorHAnsi" w:cstheme="minorHAnsi"/>
        </w:rPr>
        <w:t>439.201,80</w:t>
      </w:r>
      <w:r w:rsidR="00D96119" w:rsidRPr="00C1205D">
        <w:rPr>
          <w:rFonts w:asciiTheme="minorHAnsi" w:hAnsiTheme="minorHAnsi" w:cstheme="minorHAnsi"/>
        </w:rPr>
        <w:t xml:space="preserve"> eura</w:t>
      </w:r>
      <w:r w:rsidR="00A179A8" w:rsidRPr="00C1205D">
        <w:rPr>
          <w:rFonts w:asciiTheme="minorHAnsi" w:hAnsiTheme="minorHAnsi" w:cstheme="minorHAnsi"/>
        </w:rPr>
        <w:t>,</w:t>
      </w:r>
      <w:r w:rsidRPr="00C1205D">
        <w:rPr>
          <w:rFonts w:asciiTheme="minorHAnsi" w:hAnsiTheme="minorHAnsi" w:cstheme="minorHAnsi"/>
        </w:rPr>
        <w:t xml:space="preserve"> a sastoje se od tekućih i kapitalnih pomoći:</w:t>
      </w:r>
    </w:p>
    <w:p w14:paraId="04A7492B" w14:textId="4BD426E2" w:rsidR="00CB4418" w:rsidRDefault="001E0E26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- tekućih pomoći iz državnog proračuna – „fiskalna održivost dječjih vrtića“ – u iznosu od </w:t>
      </w:r>
      <w:r w:rsidR="00421A54">
        <w:rPr>
          <w:rFonts w:asciiTheme="minorHAnsi" w:hAnsiTheme="minorHAnsi" w:cstheme="minorHAnsi"/>
        </w:rPr>
        <w:t>275.934,</w:t>
      </w:r>
      <w:r w:rsidR="00D87F3E">
        <w:rPr>
          <w:rFonts w:asciiTheme="minorHAnsi" w:hAnsiTheme="minorHAnsi" w:cstheme="minorHAnsi"/>
        </w:rPr>
        <w:t>00</w:t>
      </w:r>
      <w:r w:rsidRPr="00C1205D">
        <w:rPr>
          <w:rFonts w:asciiTheme="minorHAnsi" w:hAnsiTheme="minorHAnsi" w:cstheme="minorHAnsi"/>
        </w:rPr>
        <w:t xml:space="preserve"> €</w:t>
      </w:r>
      <w:r>
        <w:rPr>
          <w:rFonts w:asciiTheme="minorHAnsi" w:hAnsiTheme="minorHAnsi" w:cstheme="minorHAnsi"/>
        </w:rPr>
        <w:t>.</w:t>
      </w:r>
      <w:r w:rsidRPr="00C1205D">
        <w:rPr>
          <w:rFonts w:asciiTheme="minorHAnsi" w:hAnsiTheme="minorHAnsi" w:cstheme="minorHAnsi"/>
        </w:rPr>
        <w:t xml:space="preserve"> Sredstva su namjenski određena za sufinanciranje troškova proračunskog korisnika Dječjeg vrtića Maslačak.</w:t>
      </w:r>
    </w:p>
    <w:p w14:paraId="3F7CA829" w14:textId="0419C62B" w:rsidR="001E0E26" w:rsidRDefault="001E0E26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tekućih pomoći iz državnog proračuna - Ministarstva rada, mirovinskog sustava, obitelji i </w:t>
      </w:r>
      <w:r w:rsidR="00A70124">
        <w:rPr>
          <w:rFonts w:asciiTheme="minorHAnsi" w:hAnsiTheme="minorHAnsi" w:cstheme="minorHAnsi"/>
        </w:rPr>
        <w:t xml:space="preserve">socijalne </w:t>
      </w:r>
      <w:r w:rsidR="00A70124">
        <w:rPr>
          <w:rFonts w:asciiTheme="minorHAnsi" w:hAnsiTheme="minorHAnsi" w:cstheme="minorHAnsi"/>
        </w:rPr>
        <w:lastRenderedPageBreak/>
        <w:t xml:space="preserve">politike za projekt „Nikad nije kasno – faza IV“ u iznosu od </w:t>
      </w:r>
      <w:r w:rsidR="00D87F3E" w:rsidRPr="00D87F3E">
        <w:rPr>
          <w:rFonts w:asciiTheme="minorHAnsi" w:hAnsiTheme="minorHAnsi" w:cstheme="minorHAnsi"/>
        </w:rPr>
        <w:t>38.892,55</w:t>
      </w:r>
      <w:r w:rsidR="00A70124">
        <w:rPr>
          <w:rFonts w:asciiTheme="minorHAnsi" w:hAnsiTheme="minorHAnsi" w:cstheme="minorHAnsi"/>
        </w:rPr>
        <w:t xml:space="preserve"> eura,</w:t>
      </w:r>
    </w:p>
    <w:p w14:paraId="34ED6C79" w14:textId="7E1CC25F" w:rsidR="00A70124" w:rsidRDefault="00A70124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tekućih pomoći iz državnog proračuna za održavanje </w:t>
      </w:r>
      <w:r w:rsidR="00421A54">
        <w:rPr>
          <w:rFonts w:asciiTheme="minorHAnsi" w:hAnsiTheme="minorHAnsi" w:cstheme="minorHAnsi"/>
        </w:rPr>
        <w:t>Predsjedničkih izbora u iznosu od 28.756,23 eura,</w:t>
      </w:r>
    </w:p>
    <w:p w14:paraId="7CA0DDC7" w14:textId="4842A5B1" w:rsidR="00421A54" w:rsidRPr="00C1205D" w:rsidRDefault="00421A54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tekućih pomoći iz županijskog proračuna za održavanje Lokalnih izbora u iznosu od 11.421,45,</w:t>
      </w:r>
    </w:p>
    <w:p w14:paraId="20AE9B7D" w14:textId="5EF1BDE3" w:rsidR="00CB4418" w:rsidRDefault="00CB4418" w:rsidP="00106FBB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- tekućih pomoći iz općinskih proračuna za decentralizirane funkcije  –  vatrogastvo u iznosu od </w:t>
      </w:r>
      <w:r w:rsidR="0060403B">
        <w:rPr>
          <w:rFonts w:asciiTheme="minorHAnsi" w:hAnsiTheme="minorHAnsi" w:cstheme="minorHAnsi"/>
        </w:rPr>
        <w:t>23.647,57</w:t>
      </w:r>
      <w:r w:rsidRPr="00C1205D">
        <w:rPr>
          <w:rFonts w:asciiTheme="minorHAnsi" w:hAnsiTheme="minorHAnsi" w:cstheme="minorHAnsi"/>
        </w:rPr>
        <w:t xml:space="preserve"> €,</w:t>
      </w:r>
    </w:p>
    <w:p w14:paraId="7151996C" w14:textId="683E4736" w:rsidR="00D87F3E" w:rsidRPr="00C1205D" w:rsidRDefault="00D87F3E" w:rsidP="00106FBB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kapitalnih pomoći</w:t>
      </w:r>
      <w:r w:rsidR="00B21358">
        <w:rPr>
          <w:rFonts w:asciiTheme="minorHAnsi" w:hAnsiTheme="minorHAnsi" w:cstheme="minorHAnsi"/>
        </w:rPr>
        <w:t xml:space="preserve"> iz državnog proračuna za opremanje nogometnih terena -postavljanje tribina u iznosu od 60.550,00 eura</w:t>
      </w:r>
      <w:r w:rsidR="007A12E2">
        <w:rPr>
          <w:rFonts w:asciiTheme="minorHAnsi" w:hAnsiTheme="minorHAnsi" w:cstheme="minorHAnsi"/>
        </w:rPr>
        <w:t>.</w:t>
      </w:r>
    </w:p>
    <w:p w14:paraId="21CEBB1F" w14:textId="77777777" w:rsidR="00F760B3" w:rsidRDefault="00F760B3" w:rsidP="00106FBB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61125BEC" w14:textId="5D48FB47" w:rsidR="00C605E7" w:rsidRDefault="00C605E7" w:rsidP="00106FBB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1205D">
        <w:rPr>
          <w:rFonts w:asciiTheme="minorHAnsi" w:hAnsiTheme="minorHAnsi" w:cstheme="minorHAnsi"/>
          <w:i/>
          <w:iCs/>
        </w:rPr>
        <w:t xml:space="preserve">Pomoći </w:t>
      </w:r>
      <w:r>
        <w:rPr>
          <w:rFonts w:asciiTheme="minorHAnsi" w:hAnsiTheme="minorHAnsi" w:cstheme="minorHAnsi"/>
          <w:i/>
          <w:iCs/>
        </w:rPr>
        <w:t>od izvanproračunskih korisnika</w:t>
      </w:r>
      <w:r w:rsidRPr="00C1205D">
        <w:rPr>
          <w:rFonts w:asciiTheme="minorHAnsi" w:hAnsiTheme="minorHAnsi" w:cstheme="minorHAnsi"/>
          <w:i/>
          <w:iCs/>
        </w:rPr>
        <w:t xml:space="preserve"> (63</w:t>
      </w:r>
      <w:r>
        <w:rPr>
          <w:rFonts w:asciiTheme="minorHAnsi" w:hAnsiTheme="minorHAnsi" w:cstheme="minorHAnsi"/>
          <w:i/>
          <w:iCs/>
        </w:rPr>
        <w:t>4</w:t>
      </w:r>
      <w:r w:rsidRPr="00C1205D">
        <w:rPr>
          <w:rFonts w:asciiTheme="minorHAnsi" w:hAnsiTheme="minorHAnsi" w:cstheme="minorHAnsi"/>
          <w:i/>
          <w:iCs/>
        </w:rPr>
        <w:t xml:space="preserve">) </w:t>
      </w:r>
      <w:r w:rsidRPr="00C1205D">
        <w:rPr>
          <w:rFonts w:asciiTheme="minorHAnsi" w:hAnsiTheme="minorHAnsi" w:cstheme="minorHAnsi"/>
        </w:rPr>
        <w:t xml:space="preserve">iznose </w:t>
      </w:r>
      <w:r w:rsidR="00B21358">
        <w:rPr>
          <w:rFonts w:asciiTheme="minorHAnsi" w:hAnsiTheme="minorHAnsi" w:cstheme="minorHAnsi"/>
        </w:rPr>
        <w:t>14.050,60</w:t>
      </w:r>
      <w:r w:rsidRPr="00C1205D">
        <w:rPr>
          <w:rFonts w:asciiTheme="minorHAnsi" w:hAnsiTheme="minorHAnsi" w:cstheme="minorHAnsi"/>
        </w:rPr>
        <w:t xml:space="preserve"> eura, a sastoje se od</w:t>
      </w:r>
      <w:r w:rsidR="00B21358">
        <w:rPr>
          <w:rFonts w:asciiTheme="minorHAnsi" w:hAnsiTheme="minorHAnsi" w:cstheme="minorHAnsi"/>
        </w:rPr>
        <w:t>:</w:t>
      </w:r>
    </w:p>
    <w:p w14:paraId="0FE8D17A" w14:textId="1F8FB792" w:rsidR="00A70124" w:rsidRPr="00C1205D" w:rsidRDefault="00A70124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- tekućih pomoći  </w:t>
      </w:r>
      <w:r w:rsidR="00C605E7">
        <w:rPr>
          <w:rFonts w:asciiTheme="minorHAnsi" w:hAnsiTheme="minorHAnsi" w:cstheme="minorHAnsi"/>
        </w:rPr>
        <w:t xml:space="preserve">od Hrvatskog zavoda za zapošljavanje </w:t>
      </w:r>
      <w:r w:rsidRPr="00C1205D">
        <w:rPr>
          <w:rFonts w:asciiTheme="minorHAnsi" w:hAnsiTheme="minorHAnsi" w:cstheme="minorHAnsi"/>
        </w:rPr>
        <w:t>za proje</w:t>
      </w:r>
      <w:r w:rsidR="00C605E7">
        <w:rPr>
          <w:rFonts w:asciiTheme="minorHAnsi" w:hAnsiTheme="minorHAnsi" w:cstheme="minorHAnsi"/>
        </w:rPr>
        <w:t>kt</w:t>
      </w:r>
      <w:r w:rsidRPr="00C1205D">
        <w:rPr>
          <w:rFonts w:asciiTheme="minorHAnsi" w:hAnsiTheme="minorHAnsi" w:cstheme="minorHAnsi"/>
        </w:rPr>
        <w:t xml:space="preserve"> „Javni radovi“ </w:t>
      </w:r>
      <w:r>
        <w:rPr>
          <w:rFonts w:asciiTheme="minorHAnsi" w:hAnsiTheme="minorHAnsi" w:cstheme="minorHAnsi"/>
        </w:rPr>
        <w:t xml:space="preserve">u iznosu od </w:t>
      </w:r>
      <w:r w:rsidR="00B21358">
        <w:rPr>
          <w:rFonts w:asciiTheme="minorHAnsi" w:hAnsiTheme="minorHAnsi" w:cstheme="minorHAnsi"/>
        </w:rPr>
        <w:t>14.050,60</w:t>
      </w:r>
      <w:r>
        <w:rPr>
          <w:rFonts w:asciiTheme="minorHAnsi" w:hAnsiTheme="minorHAnsi" w:cstheme="minorHAnsi"/>
        </w:rPr>
        <w:t xml:space="preserve"> eura</w:t>
      </w:r>
      <w:r w:rsidRPr="00C1205D">
        <w:rPr>
          <w:rFonts w:asciiTheme="minorHAnsi" w:hAnsiTheme="minorHAnsi" w:cstheme="minorHAnsi"/>
        </w:rPr>
        <w:t>,</w:t>
      </w:r>
    </w:p>
    <w:p w14:paraId="5970DE9B" w14:textId="77777777" w:rsidR="00C605E7" w:rsidRDefault="00C605E7" w:rsidP="00106FBB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1BCCEF2E" w14:textId="53451612" w:rsidR="00421A54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>Tekuće pomoći izravnanja za decentralizirane funkcije</w:t>
      </w:r>
      <w:r w:rsidR="00B21358">
        <w:rPr>
          <w:rFonts w:asciiTheme="minorHAnsi" w:hAnsiTheme="minorHAnsi" w:cstheme="minorHAnsi"/>
          <w:i/>
          <w:iCs/>
        </w:rPr>
        <w:t xml:space="preserve"> i fiskalnog izravnanja</w:t>
      </w:r>
      <w:r w:rsidR="00A179A8" w:rsidRPr="00C1205D">
        <w:rPr>
          <w:rFonts w:asciiTheme="minorHAnsi" w:hAnsiTheme="minorHAnsi" w:cstheme="minorHAnsi"/>
          <w:i/>
          <w:iCs/>
        </w:rPr>
        <w:t xml:space="preserve"> (635)</w:t>
      </w:r>
      <w:r w:rsidRPr="00C1205D">
        <w:rPr>
          <w:rFonts w:asciiTheme="minorHAnsi" w:hAnsiTheme="minorHAnsi" w:cstheme="minorHAnsi"/>
          <w:i/>
          <w:iCs/>
        </w:rPr>
        <w:t xml:space="preserve"> </w:t>
      </w:r>
      <w:r w:rsidR="002C2983" w:rsidRPr="00C1205D">
        <w:rPr>
          <w:rFonts w:asciiTheme="minorHAnsi" w:hAnsiTheme="minorHAnsi" w:cstheme="minorHAnsi"/>
        </w:rPr>
        <w:t xml:space="preserve">iznose </w:t>
      </w:r>
      <w:r w:rsidR="00B21358">
        <w:rPr>
          <w:rFonts w:asciiTheme="minorHAnsi" w:hAnsiTheme="minorHAnsi" w:cstheme="minorHAnsi"/>
        </w:rPr>
        <w:t>1.097.634,11</w:t>
      </w:r>
      <w:r w:rsidR="002C2983" w:rsidRPr="00C1205D">
        <w:rPr>
          <w:rFonts w:asciiTheme="minorHAnsi" w:hAnsiTheme="minorHAnsi" w:cstheme="minorHAnsi"/>
        </w:rPr>
        <w:t xml:space="preserve"> eura i sastoje se od</w:t>
      </w:r>
      <w:r w:rsidR="008A64BE">
        <w:rPr>
          <w:rFonts w:asciiTheme="minorHAnsi" w:hAnsiTheme="minorHAnsi" w:cstheme="minorHAnsi"/>
        </w:rPr>
        <w:t>:</w:t>
      </w:r>
      <w:r w:rsidR="002C2983" w:rsidRPr="00C1205D">
        <w:rPr>
          <w:rFonts w:asciiTheme="minorHAnsi" w:hAnsiTheme="minorHAnsi" w:cstheme="minorHAnsi"/>
        </w:rPr>
        <w:t xml:space="preserve"> </w:t>
      </w:r>
    </w:p>
    <w:p w14:paraId="4CEE8D28" w14:textId="6084BDDA" w:rsidR="00421A54" w:rsidRPr="00B21358" w:rsidRDefault="00B21358" w:rsidP="00B21358">
      <w:pPr>
        <w:spacing w:after="0"/>
        <w:jc w:val="both"/>
        <w:rPr>
          <w:rFonts w:asciiTheme="minorHAnsi" w:hAnsiTheme="minorHAnsi" w:cstheme="minorHAnsi"/>
        </w:rPr>
      </w:pPr>
      <w:r w:rsidRPr="00B2135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2C2983" w:rsidRPr="00B21358">
        <w:rPr>
          <w:rFonts w:asciiTheme="minorHAnsi" w:hAnsiTheme="minorHAnsi" w:cstheme="minorHAnsi"/>
        </w:rPr>
        <w:t xml:space="preserve">pomoći za školstvo u iznosu od </w:t>
      </w:r>
      <w:r w:rsidR="00C605E7" w:rsidRPr="00B2135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28.812,11</w:t>
      </w:r>
      <w:r w:rsidR="002C2983" w:rsidRPr="00B21358">
        <w:rPr>
          <w:rFonts w:asciiTheme="minorHAnsi" w:hAnsiTheme="minorHAnsi" w:cstheme="minorHAnsi"/>
        </w:rPr>
        <w:t xml:space="preserve"> eura i </w:t>
      </w:r>
    </w:p>
    <w:p w14:paraId="6EDBF372" w14:textId="434F6154" w:rsidR="00BD182E" w:rsidRPr="00C1205D" w:rsidRDefault="00B21358" w:rsidP="00B2135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C2983" w:rsidRPr="00C1205D">
        <w:rPr>
          <w:rFonts w:asciiTheme="minorHAnsi" w:hAnsiTheme="minorHAnsi" w:cstheme="minorHAnsi"/>
        </w:rPr>
        <w:t xml:space="preserve">vatrogastvo u iznosu od </w:t>
      </w:r>
      <w:r w:rsidR="00C605E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8.621,30</w:t>
      </w:r>
      <w:r w:rsidR="002C2983" w:rsidRPr="00C1205D">
        <w:rPr>
          <w:rFonts w:asciiTheme="minorHAnsi" w:hAnsiTheme="minorHAnsi" w:cstheme="minorHAnsi"/>
        </w:rPr>
        <w:t xml:space="preserve"> eura.</w:t>
      </w:r>
    </w:p>
    <w:p w14:paraId="76AA27D9" w14:textId="5C4B63EB" w:rsidR="00421A54" w:rsidRDefault="00421A54" w:rsidP="00421A54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- sredstva fiskalnog izravnavanja iz razdjela 25. Ministarstva financija u iznosu od </w:t>
      </w:r>
      <w:r>
        <w:rPr>
          <w:rFonts w:asciiTheme="minorHAnsi" w:hAnsiTheme="minorHAnsi" w:cstheme="minorHAnsi"/>
        </w:rPr>
        <w:t>8</w:t>
      </w:r>
      <w:r w:rsidR="00B21358">
        <w:rPr>
          <w:rFonts w:asciiTheme="minorHAnsi" w:hAnsiTheme="minorHAnsi" w:cstheme="minorHAnsi"/>
        </w:rPr>
        <w:t>40.200,70</w:t>
      </w:r>
      <w:r w:rsidRPr="00C1205D">
        <w:rPr>
          <w:rFonts w:asciiTheme="minorHAnsi" w:hAnsiTheme="minorHAnsi" w:cstheme="minorHAnsi"/>
        </w:rPr>
        <w:t xml:space="preserve"> €</w:t>
      </w:r>
      <w:r w:rsidR="008A64BE">
        <w:rPr>
          <w:rFonts w:asciiTheme="minorHAnsi" w:hAnsiTheme="minorHAnsi" w:cstheme="minorHAnsi"/>
        </w:rPr>
        <w:t>.</w:t>
      </w:r>
    </w:p>
    <w:p w14:paraId="0717501B" w14:textId="77777777" w:rsidR="00BD182E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3AA90C" w14:textId="03DB1861" w:rsidR="005805D1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>Pomoći proračunskim korisnicima iz proračuna koji im nije nadležan</w:t>
      </w:r>
      <w:r w:rsidRPr="00C1205D">
        <w:rPr>
          <w:rFonts w:asciiTheme="minorHAnsi" w:hAnsiTheme="minorHAnsi" w:cstheme="minorHAnsi"/>
        </w:rPr>
        <w:t xml:space="preserve"> </w:t>
      </w:r>
      <w:r w:rsidR="00A179A8" w:rsidRPr="00C1205D">
        <w:rPr>
          <w:rFonts w:asciiTheme="minorHAnsi" w:hAnsiTheme="minorHAnsi" w:cstheme="minorHAnsi"/>
        </w:rPr>
        <w:t xml:space="preserve">(636) </w:t>
      </w:r>
      <w:r w:rsidRPr="00C1205D">
        <w:rPr>
          <w:rFonts w:asciiTheme="minorHAnsi" w:hAnsiTheme="minorHAnsi" w:cstheme="minorHAnsi"/>
        </w:rPr>
        <w:t xml:space="preserve">iznose </w:t>
      </w:r>
      <w:r w:rsidR="00B21358">
        <w:rPr>
          <w:rFonts w:asciiTheme="minorHAnsi" w:hAnsiTheme="minorHAnsi" w:cstheme="minorHAnsi"/>
        </w:rPr>
        <w:t>1.865.963,01</w:t>
      </w:r>
      <w:r w:rsidR="002C2983" w:rsidRPr="00C1205D">
        <w:rPr>
          <w:rFonts w:asciiTheme="minorHAnsi" w:hAnsiTheme="minorHAnsi" w:cstheme="minorHAnsi"/>
        </w:rPr>
        <w:t xml:space="preserve"> eura i bilježe povećanje </w:t>
      </w:r>
      <w:r w:rsidR="00C605E7">
        <w:rPr>
          <w:rFonts w:asciiTheme="minorHAnsi" w:hAnsiTheme="minorHAnsi" w:cstheme="minorHAnsi"/>
        </w:rPr>
        <w:t xml:space="preserve"> od </w:t>
      </w:r>
      <w:r w:rsidR="00B21358">
        <w:rPr>
          <w:rFonts w:asciiTheme="minorHAnsi" w:hAnsiTheme="minorHAnsi" w:cstheme="minorHAnsi"/>
        </w:rPr>
        <w:t>11,66</w:t>
      </w:r>
      <w:r w:rsidR="00C605E7">
        <w:rPr>
          <w:rFonts w:asciiTheme="minorHAnsi" w:hAnsiTheme="minorHAnsi" w:cstheme="minorHAnsi"/>
        </w:rPr>
        <w:t>%</w:t>
      </w:r>
      <w:r w:rsidR="005805D1">
        <w:rPr>
          <w:rFonts w:asciiTheme="minorHAnsi" w:hAnsiTheme="minorHAnsi" w:cstheme="minorHAnsi"/>
        </w:rPr>
        <w:t>. Povećanje istih prihoda od Ministarstva znanosti i obrazovanja uzrokovano je povećanjem troškova za plaće zaposlenih u osnovnim školama.</w:t>
      </w:r>
    </w:p>
    <w:p w14:paraId="042A90EA" w14:textId="4927E873" w:rsidR="003355AD" w:rsidRPr="00C1205D" w:rsidRDefault="005805D1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Iste pomoći</w:t>
      </w:r>
      <w:r w:rsidR="00C605E7">
        <w:rPr>
          <w:rFonts w:asciiTheme="minorHAnsi" w:hAnsiTheme="minorHAnsi" w:cstheme="minorHAnsi"/>
        </w:rPr>
        <w:t xml:space="preserve"> </w:t>
      </w:r>
      <w:r w:rsidR="00572F38" w:rsidRPr="00C1205D">
        <w:rPr>
          <w:rFonts w:asciiTheme="minorHAnsi" w:hAnsiTheme="minorHAnsi" w:cstheme="minorHAnsi"/>
        </w:rPr>
        <w:t>sastoje se od</w:t>
      </w:r>
      <w:r w:rsidR="003355AD" w:rsidRPr="00C1205D">
        <w:rPr>
          <w:rFonts w:asciiTheme="minorHAnsi" w:hAnsiTheme="minorHAnsi" w:cstheme="minorHAnsi"/>
        </w:rPr>
        <w:t xml:space="preserve"> pomoći iz </w:t>
      </w:r>
      <w:r w:rsidR="003355AD" w:rsidRPr="00C1205D">
        <w:rPr>
          <w:rFonts w:asciiTheme="minorHAnsi" w:hAnsiTheme="minorHAnsi" w:cstheme="minorHAnsi"/>
          <w:lang w:eastAsia="hr-HR"/>
        </w:rPr>
        <w:t xml:space="preserve"> </w:t>
      </w:r>
      <w:r w:rsidR="003355AD" w:rsidRPr="00C1205D">
        <w:rPr>
          <w:rFonts w:asciiTheme="minorHAnsi" w:hAnsiTheme="minorHAnsi" w:cstheme="minorHAnsi"/>
        </w:rPr>
        <w:t>državnog, županijskog i općinskog proračuna po korisnicima:</w:t>
      </w:r>
    </w:p>
    <w:p w14:paraId="70060F89" w14:textId="77E8C045" w:rsidR="003355AD" w:rsidRPr="00C1205D" w:rsidRDefault="003355AD" w:rsidP="00106FBB">
      <w:pPr>
        <w:widowControl w:val="0"/>
        <w:numPr>
          <w:ilvl w:val="0"/>
          <w:numId w:val="13"/>
        </w:numPr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Javna vatrogasna postrojba u iznosu od </w:t>
      </w:r>
      <w:r w:rsidR="00B21358">
        <w:rPr>
          <w:rFonts w:asciiTheme="minorHAnsi" w:hAnsiTheme="minorHAnsi" w:cstheme="minorHAnsi"/>
        </w:rPr>
        <w:t>33.444,84</w:t>
      </w:r>
      <w:r w:rsidRPr="00C1205D">
        <w:rPr>
          <w:rFonts w:asciiTheme="minorHAnsi" w:hAnsiTheme="minorHAnsi" w:cstheme="minorHAnsi"/>
        </w:rPr>
        <w:t xml:space="preserve"> €,</w:t>
      </w:r>
    </w:p>
    <w:p w14:paraId="338EF341" w14:textId="49B93A2B" w:rsidR="003355AD" w:rsidRPr="00C1205D" w:rsidRDefault="003355AD" w:rsidP="00106FBB">
      <w:pPr>
        <w:widowControl w:val="0"/>
        <w:numPr>
          <w:ilvl w:val="0"/>
          <w:numId w:val="13"/>
        </w:numPr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Dječji vrtić „Maslačak“  u iznosu od </w:t>
      </w:r>
      <w:r w:rsidR="00917031">
        <w:rPr>
          <w:rFonts w:asciiTheme="minorHAnsi" w:hAnsiTheme="minorHAnsi" w:cstheme="minorHAnsi"/>
        </w:rPr>
        <w:t>13</w:t>
      </w:r>
      <w:r w:rsidR="00B21358">
        <w:rPr>
          <w:rFonts w:asciiTheme="minorHAnsi" w:hAnsiTheme="minorHAnsi" w:cstheme="minorHAnsi"/>
        </w:rPr>
        <w:t>3.253,17</w:t>
      </w:r>
      <w:r w:rsidRPr="00C1205D">
        <w:rPr>
          <w:rFonts w:asciiTheme="minorHAnsi" w:hAnsiTheme="minorHAnsi" w:cstheme="minorHAnsi"/>
        </w:rPr>
        <w:t xml:space="preserve"> €</w:t>
      </w:r>
      <w:r w:rsidR="00917031">
        <w:rPr>
          <w:rFonts w:asciiTheme="minorHAnsi" w:hAnsiTheme="minorHAnsi" w:cstheme="minorHAnsi"/>
        </w:rPr>
        <w:t xml:space="preserve"> (sufinanciranje općina),</w:t>
      </w:r>
    </w:p>
    <w:p w14:paraId="0E16E174" w14:textId="0CB2BABD" w:rsidR="003355AD" w:rsidRPr="00C1205D" w:rsidRDefault="003355AD" w:rsidP="00106FBB">
      <w:pPr>
        <w:widowControl w:val="0"/>
        <w:numPr>
          <w:ilvl w:val="0"/>
          <w:numId w:val="13"/>
        </w:numPr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Hrvatska knjižnica i čitaonica „Đuro Sudeta“  u iznosu od </w:t>
      </w:r>
      <w:r w:rsidR="00B21358">
        <w:rPr>
          <w:rFonts w:asciiTheme="minorHAnsi" w:hAnsiTheme="minorHAnsi" w:cstheme="minorHAnsi"/>
        </w:rPr>
        <w:t>38.311,77</w:t>
      </w:r>
      <w:r w:rsidRPr="00C1205D">
        <w:rPr>
          <w:rFonts w:asciiTheme="minorHAnsi" w:hAnsiTheme="minorHAnsi" w:cstheme="minorHAnsi"/>
        </w:rPr>
        <w:t xml:space="preserve"> €,</w:t>
      </w:r>
    </w:p>
    <w:p w14:paraId="1ED3D4A4" w14:textId="242B750B" w:rsidR="003355AD" w:rsidRPr="00C1205D" w:rsidRDefault="003355AD" w:rsidP="00106FBB">
      <w:pPr>
        <w:widowControl w:val="0"/>
        <w:numPr>
          <w:ilvl w:val="0"/>
          <w:numId w:val="13"/>
        </w:numPr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Osnovna škola Garešnica  u iznosu od </w:t>
      </w:r>
      <w:r w:rsidR="00917031">
        <w:rPr>
          <w:rFonts w:asciiTheme="minorHAnsi" w:hAnsiTheme="minorHAnsi" w:cstheme="minorHAnsi"/>
        </w:rPr>
        <w:t>1.</w:t>
      </w:r>
      <w:r w:rsidR="00B21358">
        <w:rPr>
          <w:rFonts w:asciiTheme="minorHAnsi" w:hAnsiTheme="minorHAnsi" w:cstheme="minorHAnsi"/>
        </w:rPr>
        <w:t>349.392,72</w:t>
      </w:r>
      <w:r w:rsidRPr="00C1205D">
        <w:rPr>
          <w:rFonts w:asciiTheme="minorHAnsi" w:hAnsiTheme="minorHAnsi" w:cstheme="minorHAnsi"/>
        </w:rPr>
        <w:t xml:space="preserve"> €</w:t>
      </w:r>
    </w:p>
    <w:p w14:paraId="3F916594" w14:textId="5E7C5981" w:rsidR="003355AD" w:rsidRPr="00C1205D" w:rsidRDefault="003355AD" w:rsidP="00106FBB">
      <w:pPr>
        <w:widowControl w:val="0"/>
        <w:numPr>
          <w:ilvl w:val="0"/>
          <w:numId w:val="13"/>
        </w:numPr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Osnovna škola Trnovitički Popovac u iznosu od </w:t>
      </w:r>
      <w:r w:rsidR="00D23C36">
        <w:rPr>
          <w:rFonts w:asciiTheme="minorHAnsi" w:hAnsiTheme="minorHAnsi" w:cstheme="minorHAnsi"/>
        </w:rPr>
        <w:t>310.160,51</w:t>
      </w:r>
      <w:r w:rsidRPr="00C1205D">
        <w:rPr>
          <w:rFonts w:asciiTheme="minorHAnsi" w:hAnsiTheme="minorHAnsi" w:cstheme="minorHAnsi"/>
        </w:rPr>
        <w:t xml:space="preserve"> €</w:t>
      </w:r>
    </w:p>
    <w:p w14:paraId="4AD77C15" w14:textId="77777777" w:rsidR="00D23C36" w:rsidRPr="00C1205D" w:rsidRDefault="00D23C36" w:rsidP="00D23C36">
      <w:pPr>
        <w:pStyle w:val="Odlomakpopisa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Javna ustanova Garešnica u iznosu od 1.400,00 eura.</w:t>
      </w:r>
    </w:p>
    <w:p w14:paraId="13E819E2" w14:textId="77777777" w:rsidR="00BD182E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4580CE" w14:textId="70427C45" w:rsidR="003355AD" w:rsidRPr="00C1205D" w:rsidRDefault="00BD182E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</w:rPr>
        <w:t>Pomoći iz državnog proračuna temeljem prijenosa EU sredstava</w:t>
      </w:r>
      <w:r w:rsidR="00A179A8" w:rsidRPr="00C1205D">
        <w:rPr>
          <w:rFonts w:asciiTheme="minorHAnsi" w:hAnsiTheme="minorHAnsi" w:cstheme="minorHAnsi"/>
          <w:i/>
          <w:iCs/>
        </w:rPr>
        <w:t xml:space="preserve"> (638)</w:t>
      </w:r>
      <w:r w:rsidRPr="00C1205D">
        <w:rPr>
          <w:rFonts w:asciiTheme="minorHAnsi" w:hAnsiTheme="minorHAnsi" w:cstheme="minorHAnsi"/>
        </w:rPr>
        <w:t xml:space="preserve"> </w:t>
      </w:r>
      <w:r w:rsidR="003355AD" w:rsidRPr="00C1205D">
        <w:rPr>
          <w:rFonts w:asciiTheme="minorHAnsi" w:hAnsiTheme="minorHAnsi" w:cstheme="minorHAnsi"/>
        </w:rPr>
        <w:t xml:space="preserve">ostvarene su u ukupnom iznosu od </w:t>
      </w:r>
      <w:r w:rsidR="00D23C36">
        <w:rPr>
          <w:rFonts w:asciiTheme="minorHAnsi" w:hAnsiTheme="minorHAnsi" w:cstheme="minorHAnsi"/>
        </w:rPr>
        <w:t>344.231,11</w:t>
      </w:r>
      <w:r w:rsidR="003355AD" w:rsidRPr="00C1205D">
        <w:rPr>
          <w:rFonts w:asciiTheme="minorHAnsi" w:hAnsiTheme="minorHAnsi" w:cstheme="minorHAnsi"/>
        </w:rPr>
        <w:t xml:space="preserve"> € i to od: Ministarstva rada, mirovinskog sustava, obitelji i socijalne politike za projekt „Nikad nije kasno</w:t>
      </w:r>
      <w:r w:rsidR="002C0E34">
        <w:rPr>
          <w:rFonts w:asciiTheme="minorHAnsi" w:hAnsiTheme="minorHAnsi" w:cstheme="minorHAnsi"/>
        </w:rPr>
        <w:t xml:space="preserve"> – faza IV“</w:t>
      </w:r>
      <w:r w:rsidR="003355AD" w:rsidRPr="00C1205D">
        <w:rPr>
          <w:rFonts w:asciiTheme="minorHAnsi" w:hAnsiTheme="minorHAnsi" w:cstheme="minorHAnsi"/>
        </w:rPr>
        <w:t xml:space="preserve"> u iznosu od </w:t>
      </w:r>
      <w:r w:rsidR="002C0E34">
        <w:rPr>
          <w:rFonts w:asciiTheme="minorHAnsi" w:hAnsiTheme="minorHAnsi" w:cstheme="minorHAnsi"/>
        </w:rPr>
        <w:t>2</w:t>
      </w:r>
      <w:r w:rsidR="00D23C36">
        <w:rPr>
          <w:rFonts w:asciiTheme="minorHAnsi" w:hAnsiTheme="minorHAnsi" w:cstheme="minorHAnsi"/>
        </w:rPr>
        <w:t>20.391,15</w:t>
      </w:r>
      <w:r w:rsidR="003355AD" w:rsidRPr="00C1205D">
        <w:rPr>
          <w:rFonts w:asciiTheme="minorHAnsi" w:hAnsiTheme="minorHAnsi" w:cstheme="minorHAnsi"/>
        </w:rPr>
        <w:t xml:space="preserve"> €, Agencije za plaćanje u poljoprivredi za projekt osnovnih škola „Školska shema“ u iznosu od </w:t>
      </w:r>
      <w:r w:rsidR="00D23C36">
        <w:rPr>
          <w:rFonts w:asciiTheme="minorHAnsi" w:hAnsiTheme="minorHAnsi" w:cstheme="minorHAnsi"/>
        </w:rPr>
        <w:t>498,64</w:t>
      </w:r>
      <w:r w:rsidR="003355AD" w:rsidRPr="00C1205D">
        <w:rPr>
          <w:rFonts w:asciiTheme="minorHAnsi" w:hAnsiTheme="minorHAnsi" w:cstheme="minorHAnsi"/>
        </w:rPr>
        <w:t xml:space="preserve"> €</w:t>
      </w:r>
      <w:r w:rsidR="00D23C36">
        <w:rPr>
          <w:rFonts w:asciiTheme="minorHAnsi" w:hAnsiTheme="minorHAnsi" w:cstheme="minorHAnsi"/>
        </w:rPr>
        <w:t xml:space="preserve">, Ministarstva prostornog uređenja za projekt </w:t>
      </w:r>
      <w:r w:rsidR="00D23C36" w:rsidRPr="00D23C36">
        <w:rPr>
          <w:rFonts w:asciiTheme="minorHAnsi" w:hAnsiTheme="minorHAnsi" w:cstheme="minorHAnsi"/>
        </w:rPr>
        <w:t>Izrada strategija zelene urbane obnove Grada Garešnice</w:t>
      </w:r>
      <w:r w:rsidR="00D23C36">
        <w:rPr>
          <w:rFonts w:asciiTheme="minorHAnsi" w:hAnsiTheme="minorHAnsi" w:cstheme="minorHAnsi"/>
        </w:rPr>
        <w:t xml:space="preserve"> u iznosu od 32.251,64 eura i pomoći od Ministarstva znanosti, obrazovanja i mladih za projekt </w:t>
      </w:r>
      <w:r w:rsidR="00D23C36" w:rsidRPr="00D23C36">
        <w:rPr>
          <w:rFonts w:asciiTheme="minorHAnsi" w:hAnsiTheme="minorHAnsi" w:cstheme="minorHAnsi"/>
        </w:rPr>
        <w:t xml:space="preserve"> </w:t>
      </w:r>
      <w:r w:rsidR="00D23C36">
        <w:rPr>
          <w:rFonts w:asciiTheme="minorHAnsi" w:hAnsiTheme="minorHAnsi" w:cstheme="minorHAnsi"/>
        </w:rPr>
        <w:t>„</w:t>
      </w:r>
      <w:r w:rsidR="00D23C36" w:rsidRPr="00D23C36">
        <w:rPr>
          <w:rFonts w:asciiTheme="minorHAnsi" w:hAnsiTheme="minorHAnsi" w:cstheme="minorHAnsi"/>
        </w:rPr>
        <w:t>Dogradnja Dječjeg vrtića Maslačak NPOO.C3.1.R1</w:t>
      </w:r>
      <w:r w:rsidR="00D23C36">
        <w:rPr>
          <w:rFonts w:asciiTheme="minorHAnsi" w:hAnsiTheme="minorHAnsi" w:cstheme="minorHAnsi"/>
        </w:rPr>
        <w:t>“ u iznosu od 91.089,68 eura</w:t>
      </w:r>
    </w:p>
    <w:p w14:paraId="0258B36F" w14:textId="77777777" w:rsidR="002C0E34" w:rsidRDefault="002C0E34" w:rsidP="00106FBB">
      <w:pPr>
        <w:spacing w:after="0" w:line="240" w:lineRule="auto"/>
        <w:jc w:val="both"/>
        <w:rPr>
          <w:rFonts w:asciiTheme="minorHAnsi" w:hAnsiTheme="minorHAnsi" w:cstheme="minorHAnsi"/>
          <w:i/>
          <w:iCs/>
          <w:u w:val="single"/>
        </w:rPr>
      </w:pPr>
    </w:p>
    <w:p w14:paraId="7953965D" w14:textId="35AF31AF" w:rsidR="00C06ED5" w:rsidRPr="00C1205D" w:rsidRDefault="00C06ED5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  <w:u w:val="single"/>
        </w:rPr>
        <w:t>Prihodi od imovine (64</w:t>
      </w:r>
      <w:r w:rsidRPr="00C1205D">
        <w:rPr>
          <w:rFonts w:asciiTheme="minorHAnsi" w:hAnsiTheme="minorHAnsi" w:cstheme="minorHAnsi"/>
          <w:i/>
          <w:iCs/>
        </w:rPr>
        <w:t>)</w:t>
      </w:r>
      <w:r w:rsidRPr="00C1205D">
        <w:rPr>
          <w:rFonts w:asciiTheme="minorHAnsi" w:hAnsiTheme="minorHAnsi" w:cstheme="minorHAnsi"/>
        </w:rPr>
        <w:t xml:space="preserve"> iznose </w:t>
      </w:r>
      <w:r w:rsidR="00D23C36">
        <w:rPr>
          <w:rFonts w:asciiTheme="minorHAnsi" w:hAnsiTheme="minorHAnsi" w:cstheme="minorHAnsi"/>
        </w:rPr>
        <w:t>122.680,58</w:t>
      </w:r>
      <w:r w:rsidRPr="00C1205D">
        <w:rPr>
          <w:rFonts w:asciiTheme="minorHAnsi" w:hAnsiTheme="minorHAnsi" w:cstheme="minorHAnsi"/>
        </w:rPr>
        <w:t xml:space="preserve"> eura i bilježe </w:t>
      </w:r>
      <w:r w:rsidR="00D23C36">
        <w:rPr>
          <w:rFonts w:asciiTheme="minorHAnsi" w:hAnsiTheme="minorHAnsi" w:cstheme="minorHAnsi"/>
        </w:rPr>
        <w:t>povećanje</w:t>
      </w:r>
      <w:r w:rsidRPr="00C1205D">
        <w:rPr>
          <w:rFonts w:asciiTheme="minorHAnsi" w:hAnsiTheme="minorHAnsi" w:cstheme="minorHAnsi"/>
        </w:rPr>
        <w:t xml:space="preserve"> od </w:t>
      </w:r>
      <w:r w:rsidR="00D23C36">
        <w:rPr>
          <w:rFonts w:asciiTheme="minorHAnsi" w:hAnsiTheme="minorHAnsi" w:cstheme="minorHAnsi"/>
        </w:rPr>
        <w:t>21,95</w:t>
      </w:r>
      <w:r w:rsidRPr="00C1205D">
        <w:rPr>
          <w:rFonts w:asciiTheme="minorHAnsi" w:hAnsiTheme="minorHAnsi" w:cstheme="minorHAnsi"/>
        </w:rPr>
        <w:t xml:space="preserve">%. Iste sačinjavaju: </w:t>
      </w:r>
      <w:r w:rsidRPr="002C0E34">
        <w:rPr>
          <w:rFonts w:asciiTheme="minorHAnsi" w:hAnsiTheme="minorHAnsi" w:cstheme="minorHAnsi"/>
          <w:i/>
          <w:iCs/>
        </w:rPr>
        <w:t>prihodi od financijske imovine (641</w:t>
      </w:r>
      <w:r w:rsidRPr="00C1205D">
        <w:rPr>
          <w:rFonts w:asciiTheme="minorHAnsi" w:hAnsiTheme="minorHAnsi" w:cstheme="minorHAnsi"/>
        </w:rPr>
        <w:t xml:space="preserve">) u iznosu od </w:t>
      </w:r>
      <w:r w:rsidR="00D23C36">
        <w:rPr>
          <w:rFonts w:asciiTheme="minorHAnsi" w:hAnsiTheme="minorHAnsi" w:cstheme="minorHAnsi"/>
        </w:rPr>
        <w:t xml:space="preserve">2.904,39 </w:t>
      </w:r>
      <w:r w:rsidRPr="00C1205D">
        <w:rPr>
          <w:rFonts w:asciiTheme="minorHAnsi" w:hAnsiTheme="minorHAnsi" w:cstheme="minorHAnsi"/>
        </w:rPr>
        <w:t xml:space="preserve">€ ( zatezne kamate i depoziti po vođenju) i  </w:t>
      </w:r>
      <w:r w:rsidRPr="002C0E34">
        <w:rPr>
          <w:rFonts w:asciiTheme="minorHAnsi" w:hAnsiTheme="minorHAnsi" w:cstheme="minorHAnsi"/>
          <w:i/>
          <w:iCs/>
        </w:rPr>
        <w:t>prihodi od  nefinancijske imovine (642)</w:t>
      </w:r>
      <w:r w:rsidR="002C0E34">
        <w:rPr>
          <w:rFonts w:asciiTheme="minorHAnsi" w:hAnsiTheme="minorHAnsi" w:cstheme="minorHAnsi"/>
        </w:rPr>
        <w:t xml:space="preserve"> u iznosu od </w:t>
      </w:r>
      <w:r w:rsidR="00234614">
        <w:rPr>
          <w:rFonts w:asciiTheme="minorHAnsi" w:hAnsiTheme="minorHAnsi" w:cstheme="minorHAnsi"/>
        </w:rPr>
        <w:t>119.776,19</w:t>
      </w:r>
      <w:r w:rsidR="002C0E34">
        <w:rPr>
          <w:rFonts w:asciiTheme="minorHAnsi" w:hAnsiTheme="minorHAnsi" w:cstheme="minorHAnsi"/>
        </w:rPr>
        <w:t xml:space="preserve"> eura koje čine</w:t>
      </w:r>
      <w:r w:rsidR="00B86FD3">
        <w:rPr>
          <w:rFonts w:asciiTheme="minorHAnsi" w:hAnsiTheme="minorHAnsi" w:cstheme="minorHAnsi"/>
        </w:rPr>
        <w:t xml:space="preserve"> prihodi od</w:t>
      </w:r>
      <w:r w:rsidRPr="00C1205D">
        <w:rPr>
          <w:rFonts w:asciiTheme="minorHAnsi" w:hAnsiTheme="minorHAnsi" w:cstheme="minorHAnsi"/>
        </w:rPr>
        <w:t xml:space="preserve">: zakupa javnih površina </w:t>
      </w:r>
      <w:r w:rsidR="00234614">
        <w:rPr>
          <w:rFonts w:asciiTheme="minorHAnsi" w:hAnsiTheme="minorHAnsi" w:cstheme="minorHAnsi"/>
        </w:rPr>
        <w:t>3.913,20</w:t>
      </w:r>
      <w:r w:rsidRPr="00C1205D">
        <w:rPr>
          <w:rFonts w:asciiTheme="minorHAnsi" w:hAnsiTheme="minorHAnsi" w:cstheme="minorHAnsi"/>
        </w:rPr>
        <w:t xml:space="preserve"> €, zakupa poljoprivrednog zemljišta u </w:t>
      </w:r>
      <w:proofErr w:type="spellStart"/>
      <w:r w:rsidRPr="00C1205D">
        <w:rPr>
          <w:rFonts w:asciiTheme="minorHAnsi" w:hAnsiTheme="minorHAnsi" w:cstheme="minorHAnsi"/>
        </w:rPr>
        <w:t>vl</w:t>
      </w:r>
      <w:proofErr w:type="spellEnd"/>
      <w:r w:rsidRPr="00C1205D">
        <w:rPr>
          <w:rFonts w:asciiTheme="minorHAnsi" w:hAnsiTheme="minorHAnsi" w:cstheme="minorHAnsi"/>
        </w:rPr>
        <w:t xml:space="preserve">. RH u iznosu od </w:t>
      </w:r>
      <w:r w:rsidR="00234614">
        <w:rPr>
          <w:rFonts w:asciiTheme="minorHAnsi" w:hAnsiTheme="minorHAnsi" w:cstheme="minorHAnsi"/>
        </w:rPr>
        <w:t>53.845,31</w:t>
      </w:r>
      <w:r w:rsidRPr="00C1205D">
        <w:rPr>
          <w:rFonts w:asciiTheme="minorHAnsi" w:hAnsiTheme="minorHAnsi" w:cstheme="minorHAnsi"/>
        </w:rPr>
        <w:t xml:space="preserve"> €, zakupa stambenih prostora </w:t>
      </w:r>
      <w:r w:rsidR="00234614">
        <w:rPr>
          <w:rFonts w:asciiTheme="minorHAnsi" w:hAnsiTheme="minorHAnsi" w:cstheme="minorHAnsi"/>
        </w:rPr>
        <w:t>937,26</w:t>
      </w:r>
      <w:r w:rsidRPr="00C1205D">
        <w:rPr>
          <w:rFonts w:asciiTheme="minorHAnsi" w:hAnsiTheme="minorHAnsi" w:cstheme="minorHAnsi"/>
        </w:rPr>
        <w:t xml:space="preserve"> €,  zakupa poslovnih prostora u iznosu od </w:t>
      </w:r>
      <w:r w:rsidR="00234614">
        <w:rPr>
          <w:rFonts w:asciiTheme="minorHAnsi" w:hAnsiTheme="minorHAnsi" w:cstheme="minorHAnsi"/>
        </w:rPr>
        <w:t>32.805,76</w:t>
      </w:r>
      <w:r w:rsidRPr="00C1205D">
        <w:rPr>
          <w:rFonts w:asciiTheme="minorHAnsi" w:hAnsiTheme="minorHAnsi" w:cstheme="minorHAnsi"/>
        </w:rPr>
        <w:t xml:space="preserve"> €, spomeničke rente u iznosu od </w:t>
      </w:r>
      <w:r w:rsidR="00234614">
        <w:rPr>
          <w:rFonts w:asciiTheme="minorHAnsi" w:hAnsiTheme="minorHAnsi" w:cstheme="minorHAnsi"/>
        </w:rPr>
        <w:t>44,91</w:t>
      </w:r>
      <w:r w:rsidRPr="00C1205D">
        <w:rPr>
          <w:rFonts w:asciiTheme="minorHAnsi" w:hAnsiTheme="minorHAnsi" w:cstheme="minorHAnsi"/>
        </w:rPr>
        <w:t xml:space="preserve"> €, naknade za zadržavanje nezakonito izgrađenih zgrada u iznosu od </w:t>
      </w:r>
      <w:r w:rsidR="00234614">
        <w:rPr>
          <w:rFonts w:asciiTheme="minorHAnsi" w:hAnsiTheme="minorHAnsi" w:cstheme="minorHAnsi"/>
        </w:rPr>
        <w:t>431,09</w:t>
      </w:r>
      <w:r w:rsidRPr="00C1205D">
        <w:rPr>
          <w:rFonts w:asciiTheme="minorHAnsi" w:hAnsiTheme="minorHAnsi" w:cstheme="minorHAnsi"/>
        </w:rPr>
        <w:t xml:space="preserve"> €</w:t>
      </w:r>
      <w:r w:rsidR="002C0E34">
        <w:rPr>
          <w:rFonts w:asciiTheme="minorHAnsi" w:hAnsiTheme="minorHAnsi" w:cstheme="minorHAnsi"/>
        </w:rPr>
        <w:t>,</w:t>
      </w:r>
      <w:r w:rsidRPr="00C1205D">
        <w:rPr>
          <w:rFonts w:asciiTheme="minorHAnsi" w:hAnsiTheme="minorHAnsi" w:cstheme="minorHAnsi"/>
        </w:rPr>
        <w:t xml:space="preserve"> naknadu za korištenje prava puta u iznosu od </w:t>
      </w:r>
      <w:r w:rsidR="002C0E34">
        <w:rPr>
          <w:rFonts w:asciiTheme="minorHAnsi" w:hAnsiTheme="minorHAnsi" w:cstheme="minorHAnsi"/>
        </w:rPr>
        <w:t>2</w:t>
      </w:r>
      <w:r w:rsidR="00234614">
        <w:rPr>
          <w:rFonts w:asciiTheme="minorHAnsi" w:hAnsiTheme="minorHAnsi" w:cstheme="minorHAnsi"/>
        </w:rPr>
        <w:t>5.874,18</w:t>
      </w:r>
      <w:r w:rsidRPr="00C1205D">
        <w:rPr>
          <w:rFonts w:asciiTheme="minorHAnsi" w:hAnsiTheme="minorHAnsi" w:cstheme="minorHAnsi"/>
        </w:rPr>
        <w:t xml:space="preserve"> €</w:t>
      </w:r>
      <w:r w:rsidR="002C0E34">
        <w:rPr>
          <w:rFonts w:asciiTheme="minorHAnsi" w:hAnsiTheme="minorHAnsi" w:cstheme="minorHAnsi"/>
        </w:rPr>
        <w:t xml:space="preserve"> i naknada za pravo građenja u iznosu do 1.924,48 €.</w:t>
      </w:r>
    </w:p>
    <w:p w14:paraId="5DE3335D" w14:textId="77777777" w:rsidR="00BD182E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703655DE" w14:textId="61FDBEC5" w:rsidR="00BD182E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  <w:u w:val="single"/>
        </w:rPr>
        <w:t>Prihodi od upravnih i administrativnih pristojbi, pristojbi po posebnim propisima i naknada</w:t>
      </w:r>
      <w:r w:rsidR="00A179A8" w:rsidRPr="00C1205D">
        <w:rPr>
          <w:rFonts w:asciiTheme="minorHAnsi" w:hAnsiTheme="minorHAnsi" w:cstheme="minorHAnsi"/>
          <w:i/>
          <w:iCs/>
          <w:u w:val="single"/>
        </w:rPr>
        <w:t xml:space="preserve"> (65</w:t>
      </w:r>
      <w:r w:rsidR="00A179A8" w:rsidRPr="00C1205D">
        <w:rPr>
          <w:rFonts w:asciiTheme="minorHAnsi" w:hAnsiTheme="minorHAnsi" w:cstheme="minorHAnsi"/>
          <w:i/>
          <w:iCs/>
        </w:rPr>
        <w:t>)</w:t>
      </w:r>
      <w:r w:rsidRPr="00C1205D">
        <w:rPr>
          <w:rFonts w:asciiTheme="minorHAnsi" w:hAnsiTheme="minorHAnsi" w:cstheme="minorHAnsi"/>
        </w:rPr>
        <w:t xml:space="preserve"> iznose </w:t>
      </w:r>
      <w:r w:rsidR="00B86FD3">
        <w:rPr>
          <w:rFonts w:asciiTheme="minorHAnsi" w:hAnsiTheme="minorHAnsi" w:cstheme="minorHAnsi"/>
        </w:rPr>
        <w:t>4</w:t>
      </w:r>
      <w:r w:rsidR="00234614">
        <w:rPr>
          <w:rFonts w:asciiTheme="minorHAnsi" w:hAnsiTheme="minorHAnsi" w:cstheme="minorHAnsi"/>
        </w:rPr>
        <w:t>87.696,57</w:t>
      </w:r>
      <w:r w:rsidR="00133F77" w:rsidRPr="00C1205D">
        <w:rPr>
          <w:rFonts w:asciiTheme="minorHAnsi" w:hAnsiTheme="minorHAnsi" w:cstheme="minorHAnsi"/>
        </w:rPr>
        <w:t xml:space="preserve"> eura</w:t>
      </w:r>
      <w:r w:rsidRPr="00C1205D">
        <w:rPr>
          <w:rFonts w:asciiTheme="minorHAnsi" w:hAnsiTheme="minorHAnsi" w:cstheme="minorHAnsi"/>
        </w:rPr>
        <w:t xml:space="preserve"> i bilježe </w:t>
      </w:r>
      <w:r w:rsidR="00234614">
        <w:rPr>
          <w:rFonts w:asciiTheme="minorHAnsi" w:hAnsiTheme="minorHAnsi" w:cstheme="minorHAnsi"/>
        </w:rPr>
        <w:t>povećanje</w:t>
      </w:r>
      <w:r w:rsidR="005B58E9">
        <w:rPr>
          <w:rFonts w:asciiTheme="minorHAnsi" w:hAnsiTheme="minorHAnsi" w:cstheme="minorHAnsi"/>
        </w:rPr>
        <w:t xml:space="preserve"> od 4,34</w:t>
      </w:r>
      <w:r w:rsidRPr="00C1205D">
        <w:rPr>
          <w:rFonts w:asciiTheme="minorHAnsi" w:hAnsiTheme="minorHAnsi" w:cstheme="minorHAnsi"/>
        </w:rPr>
        <w:t>% u odnosu na 202</w:t>
      </w:r>
      <w:r w:rsidR="00234614">
        <w:rPr>
          <w:rFonts w:asciiTheme="minorHAnsi" w:hAnsiTheme="minorHAnsi" w:cstheme="minorHAnsi"/>
        </w:rPr>
        <w:t>4</w:t>
      </w:r>
      <w:r w:rsidRPr="00C1205D">
        <w:rPr>
          <w:rFonts w:asciiTheme="minorHAnsi" w:hAnsiTheme="minorHAnsi" w:cstheme="minorHAnsi"/>
        </w:rPr>
        <w:t>. godinu i izvršenje</w:t>
      </w:r>
      <w:r w:rsidR="00C06ED5" w:rsidRPr="00C1205D">
        <w:rPr>
          <w:rFonts w:asciiTheme="minorHAnsi" w:hAnsiTheme="minorHAnsi" w:cstheme="minorHAnsi"/>
        </w:rPr>
        <w:t xml:space="preserve"> proračuna</w:t>
      </w:r>
      <w:r w:rsidRPr="00C1205D">
        <w:rPr>
          <w:rFonts w:asciiTheme="minorHAnsi" w:hAnsiTheme="minorHAnsi" w:cstheme="minorHAnsi"/>
        </w:rPr>
        <w:t xml:space="preserve"> </w:t>
      </w:r>
      <w:r w:rsidR="00B86FD3">
        <w:rPr>
          <w:rFonts w:asciiTheme="minorHAnsi" w:hAnsiTheme="minorHAnsi" w:cstheme="minorHAnsi"/>
        </w:rPr>
        <w:t>5</w:t>
      </w:r>
      <w:r w:rsidR="00234614">
        <w:rPr>
          <w:rFonts w:asciiTheme="minorHAnsi" w:hAnsiTheme="minorHAnsi" w:cstheme="minorHAnsi"/>
        </w:rPr>
        <w:t>2,69</w:t>
      </w:r>
      <w:r w:rsidRPr="00C1205D">
        <w:rPr>
          <w:rFonts w:asciiTheme="minorHAnsi" w:hAnsiTheme="minorHAnsi" w:cstheme="minorHAnsi"/>
        </w:rPr>
        <w:t xml:space="preserve">%. </w:t>
      </w:r>
    </w:p>
    <w:p w14:paraId="1340B13E" w14:textId="5BC7649A" w:rsidR="00E845C3" w:rsidRPr="00C1205D" w:rsidRDefault="00BD182E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>Ostali nespomenuti prihodi</w:t>
      </w:r>
      <w:r w:rsidR="00A179A8" w:rsidRPr="00C1205D">
        <w:rPr>
          <w:rFonts w:asciiTheme="minorHAnsi" w:hAnsiTheme="minorHAnsi" w:cstheme="minorHAnsi"/>
        </w:rPr>
        <w:t xml:space="preserve"> (6526)</w:t>
      </w:r>
      <w:r w:rsidRPr="00C1205D">
        <w:rPr>
          <w:rFonts w:asciiTheme="minorHAnsi" w:hAnsiTheme="minorHAnsi" w:cstheme="minorHAnsi"/>
        </w:rPr>
        <w:t xml:space="preserve"> iznose </w:t>
      </w:r>
      <w:r w:rsidR="00B86FD3">
        <w:rPr>
          <w:rFonts w:asciiTheme="minorHAnsi" w:hAnsiTheme="minorHAnsi" w:cstheme="minorHAnsi"/>
        </w:rPr>
        <w:t>1</w:t>
      </w:r>
      <w:r w:rsidR="00234614">
        <w:rPr>
          <w:rFonts w:asciiTheme="minorHAnsi" w:hAnsiTheme="minorHAnsi" w:cstheme="minorHAnsi"/>
        </w:rPr>
        <w:t>85.611,08</w:t>
      </w:r>
      <w:r w:rsidR="0011559D" w:rsidRPr="00C1205D">
        <w:rPr>
          <w:rFonts w:asciiTheme="minorHAnsi" w:hAnsiTheme="minorHAnsi" w:cstheme="minorHAnsi"/>
        </w:rPr>
        <w:t xml:space="preserve"> eura</w:t>
      </w:r>
      <w:r w:rsidR="00E845C3" w:rsidRPr="00C1205D">
        <w:rPr>
          <w:rFonts w:asciiTheme="minorHAnsi" w:hAnsiTheme="minorHAnsi" w:cstheme="minorHAnsi"/>
        </w:rPr>
        <w:t xml:space="preserve"> </w:t>
      </w:r>
      <w:r w:rsidR="00B86FD3">
        <w:rPr>
          <w:rFonts w:asciiTheme="minorHAnsi" w:hAnsiTheme="minorHAnsi" w:cstheme="minorHAnsi"/>
        </w:rPr>
        <w:t xml:space="preserve">i </w:t>
      </w:r>
      <w:r w:rsidR="00E845C3" w:rsidRPr="00C1205D">
        <w:rPr>
          <w:rFonts w:asciiTheme="minorHAnsi" w:hAnsiTheme="minorHAnsi" w:cstheme="minorHAnsi"/>
        </w:rPr>
        <w:t xml:space="preserve">povećani su za </w:t>
      </w:r>
      <w:r w:rsidR="006A06DA">
        <w:rPr>
          <w:rFonts w:asciiTheme="minorHAnsi" w:hAnsiTheme="minorHAnsi" w:cstheme="minorHAnsi"/>
        </w:rPr>
        <w:t>24,82</w:t>
      </w:r>
      <w:r w:rsidR="00E845C3" w:rsidRPr="00C1205D">
        <w:rPr>
          <w:rFonts w:asciiTheme="minorHAnsi" w:hAnsiTheme="minorHAnsi" w:cstheme="minorHAnsi"/>
        </w:rPr>
        <w:t>%</w:t>
      </w:r>
      <w:r w:rsidR="00B86FD3">
        <w:rPr>
          <w:rFonts w:asciiTheme="minorHAnsi" w:hAnsiTheme="minorHAnsi" w:cstheme="minorHAnsi"/>
        </w:rPr>
        <w:t>, a</w:t>
      </w:r>
      <w:r w:rsidR="00E845C3" w:rsidRPr="00C1205D">
        <w:rPr>
          <w:rFonts w:asciiTheme="minorHAnsi" w:hAnsiTheme="minorHAnsi" w:cstheme="minorHAnsi"/>
        </w:rPr>
        <w:t xml:space="preserve"> odnose se na  prihode s naslova osiguranja i refundacija šteta</w:t>
      </w:r>
      <w:r w:rsidR="006A06DA">
        <w:rPr>
          <w:rFonts w:asciiTheme="minorHAnsi" w:hAnsiTheme="minorHAnsi" w:cstheme="minorHAnsi"/>
        </w:rPr>
        <w:t xml:space="preserve"> te </w:t>
      </w:r>
      <w:r w:rsidR="00AD1627">
        <w:rPr>
          <w:rFonts w:asciiTheme="minorHAnsi" w:hAnsiTheme="minorHAnsi" w:cstheme="minorHAnsi"/>
        </w:rPr>
        <w:t>naslijeđene (</w:t>
      </w:r>
      <w:proofErr w:type="spellStart"/>
      <w:r w:rsidR="006A06DA">
        <w:rPr>
          <w:rFonts w:asciiTheme="minorHAnsi" w:hAnsiTheme="minorHAnsi" w:cstheme="minorHAnsi"/>
        </w:rPr>
        <w:t>ošasne</w:t>
      </w:r>
      <w:proofErr w:type="spellEnd"/>
      <w:r w:rsidR="00AD1627">
        <w:rPr>
          <w:rFonts w:asciiTheme="minorHAnsi" w:hAnsiTheme="minorHAnsi" w:cstheme="minorHAnsi"/>
        </w:rPr>
        <w:t>)</w:t>
      </w:r>
      <w:r w:rsidR="006A06DA">
        <w:rPr>
          <w:rFonts w:asciiTheme="minorHAnsi" w:hAnsiTheme="minorHAnsi" w:cstheme="minorHAnsi"/>
        </w:rPr>
        <w:t xml:space="preserve"> imovine u novcu</w:t>
      </w:r>
      <w:r w:rsidR="00E845C3" w:rsidRPr="00C1205D">
        <w:rPr>
          <w:rFonts w:asciiTheme="minorHAnsi" w:hAnsiTheme="minorHAnsi" w:cstheme="minorHAnsi"/>
        </w:rPr>
        <w:t xml:space="preserve"> u iznosu od </w:t>
      </w:r>
      <w:r w:rsidR="006A06DA">
        <w:rPr>
          <w:rFonts w:asciiTheme="minorHAnsi" w:hAnsiTheme="minorHAnsi" w:cstheme="minorHAnsi"/>
        </w:rPr>
        <w:lastRenderedPageBreak/>
        <w:t>2.364,57</w:t>
      </w:r>
      <w:r w:rsidR="00E845C3" w:rsidRPr="00C1205D">
        <w:rPr>
          <w:rFonts w:asciiTheme="minorHAnsi" w:hAnsiTheme="minorHAnsi" w:cstheme="minorHAnsi"/>
        </w:rPr>
        <w:t xml:space="preserve"> €</w:t>
      </w:r>
      <w:r w:rsidR="00B86FD3">
        <w:rPr>
          <w:rFonts w:asciiTheme="minorHAnsi" w:hAnsiTheme="minorHAnsi" w:cstheme="minorHAnsi"/>
        </w:rPr>
        <w:t xml:space="preserve">, </w:t>
      </w:r>
      <w:r w:rsidR="00E845C3" w:rsidRPr="00C1205D">
        <w:rPr>
          <w:rFonts w:asciiTheme="minorHAnsi" w:hAnsiTheme="minorHAnsi" w:cstheme="minorHAnsi"/>
        </w:rPr>
        <w:t xml:space="preserve">prihode Dječjeg vrtića Maslačak u iznosu od </w:t>
      </w:r>
      <w:r w:rsidR="00B86FD3">
        <w:rPr>
          <w:rFonts w:asciiTheme="minorHAnsi" w:hAnsiTheme="minorHAnsi" w:cstheme="minorHAnsi"/>
        </w:rPr>
        <w:t>1</w:t>
      </w:r>
      <w:r w:rsidR="006A06DA">
        <w:rPr>
          <w:rFonts w:asciiTheme="minorHAnsi" w:hAnsiTheme="minorHAnsi" w:cstheme="minorHAnsi"/>
        </w:rPr>
        <w:t>68.709,52</w:t>
      </w:r>
      <w:r w:rsidR="00E845C3" w:rsidRPr="00C1205D">
        <w:rPr>
          <w:rFonts w:asciiTheme="minorHAnsi" w:hAnsiTheme="minorHAnsi" w:cstheme="minorHAnsi"/>
        </w:rPr>
        <w:t xml:space="preserve"> € (sufinanciranje roditelja), Hrvatske knjižnice i čitaonice u iznosu od </w:t>
      </w:r>
      <w:r w:rsidR="006A06DA">
        <w:rPr>
          <w:rFonts w:asciiTheme="minorHAnsi" w:hAnsiTheme="minorHAnsi" w:cstheme="minorHAnsi"/>
        </w:rPr>
        <w:t>592,00</w:t>
      </w:r>
      <w:r w:rsidR="00E845C3" w:rsidRPr="00C1205D">
        <w:rPr>
          <w:rFonts w:asciiTheme="minorHAnsi" w:hAnsiTheme="minorHAnsi" w:cstheme="minorHAnsi"/>
        </w:rPr>
        <w:t xml:space="preserve"> € (članarine),  Osnovne škole Garešnica u iznosu od  </w:t>
      </w:r>
      <w:r w:rsidR="006A06DA">
        <w:rPr>
          <w:rFonts w:asciiTheme="minorHAnsi" w:hAnsiTheme="minorHAnsi" w:cstheme="minorHAnsi"/>
        </w:rPr>
        <w:t>13.944,99</w:t>
      </w:r>
      <w:r w:rsidR="00E845C3" w:rsidRPr="00C1205D">
        <w:rPr>
          <w:rFonts w:asciiTheme="minorHAnsi" w:hAnsiTheme="minorHAnsi" w:cstheme="minorHAnsi"/>
        </w:rPr>
        <w:t xml:space="preserve"> €</w:t>
      </w:r>
      <w:r w:rsidR="006A06DA">
        <w:rPr>
          <w:rFonts w:asciiTheme="minorHAnsi" w:hAnsiTheme="minorHAnsi" w:cstheme="minorHAnsi"/>
        </w:rPr>
        <w:t>.</w:t>
      </w:r>
    </w:p>
    <w:p w14:paraId="50F7BCFE" w14:textId="0F78D621" w:rsidR="00BD182E" w:rsidRPr="00C1205D" w:rsidRDefault="00BD182E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 xml:space="preserve">Prihodi od komunalnih doprinosa i naknada </w:t>
      </w:r>
      <w:r w:rsidR="00A179A8" w:rsidRPr="00C1205D">
        <w:rPr>
          <w:rFonts w:asciiTheme="minorHAnsi" w:hAnsiTheme="minorHAnsi" w:cstheme="minorHAnsi"/>
        </w:rPr>
        <w:t xml:space="preserve">(653) </w:t>
      </w:r>
      <w:r w:rsidRPr="00C1205D">
        <w:rPr>
          <w:rFonts w:asciiTheme="minorHAnsi" w:hAnsiTheme="minorHAnsi" w:cstheme="minorHAnsi"/>
        </w:rPr>
        <w:t>iznose</w:t>
      </w:r>
      <w:r w:rsidR="0060404B" w:rsidRPr="00C1205D">
        <w:rPr>
          <w:rFonts w:asciiTheme="minorHAnsi" w:hAnsiTheme="minorHAnsi" w:cstheme="minorHAnsi"/>
        </w:rPr>
        <w:t xml:space="preserve"> </w:t>
      </w:r>
      <w:r w:rsidR="006A06DA">
        <w:rPr>
          <w:rFonts w:asciiTheme="minorHAnsi" w:hAnsiTheme="minorHAnsi" w:cstheme="minorHAnsi"/>
        </w:rPr>
        <w:t>89.910,87</w:t>
      </w:r>
      <w:r w:rsidR="0060404B" w:rsidRPr="00C1205D">
        <w:rPr>
          <w:rFonts w:asciiTheme="minorHAnsi" w:hAnsiTheme="minorHAnsi" w:cstheme="minorHAnsi"/>
        </w:rPr>
        <w:t xml:space="preserve"> eura</w:t>
      </w:r>
      <w:r w:rsidRPr="00C1205D">
        <w:rPr>
          <w:rFonts w:asciiTheme="minorHAnsi" w:hAnsiTheme="minorHAnsi" w:cstheme="minorHAnsi"/>
        </w:rPr>
        <w:t xml:space="preserve"> i bilježe </w:t>
      </w:r>
      <w:r w:rsidR="006A06DA">
        <w:rPr>
          <w:rFonts w:asciiTheme="minorHAnsi" w:hAnsiTheme="minorHAnsi" w:cstheme="minorHAnsi"/>
        </w:rPr>
        <w:t>smanjenje</w:t>
      </w:r>
      <w:r w:rsidRPr="00C1205D">
        <w:rPr>
          <w:rFonts w:asciiTheme="minorHAnsi" w:hAnsiTheme="minorHAnsi" w:cstheme="minorHAnsi"/>
        </w:rPr>
        <w:t xml:space="preserve"> od </w:t>
      </w:r>
      <w:r w:rsidR="00B86FD3">
        <w:rPr>
          <w:rFonts w:asciiTheme="minorHAnsi" w:hAnsiTheme="minorHAnsi" w:cstheme="minorHAnsi"/>
        </w:rPr>
        <w:t>14,</w:t>
      </w:r>
      <w:r w:rsidR="006A06DA">
        <w:rPr>
          <w:rFonts w:asciiTheme="minorHAnsi" w:hAnsiTheme="minorHAnsi" w:cstheme="minorHAnsi"/>
        </w:rPr>
        <w:t>49</w:t>
      </w:r>
      <w:r w:rsidRPr="00C1205D">
        <w:rPr>
          <w:rFonts w:asciiTheme="minorHAnsi" w:hAnsiTheme="minorHAnsi" w:cstheme="minorHAnsi"/>
        </w:rPr>
        <w:t>% u odnosu na izvještajno razdoblje prošle godine.</w:t>
      </w:r>
    </w:p>
    <w:p w14:paraId="4456D9D2" w14:textId="29066A01" w:rsidR="004A59FB" w:rsidRPr="00C1205D" w:rsidRDefault="00BD182E" w:rsidP="00106FBB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lang w:eastAsia="hr-HR"/>
        </w:rPr>
      </w:pPr>
      <w:r w:rsidRPr="00C1205D">
        <w:rPr>
          <w:rFonts w:asciiTheme="minorHAnsi" w:hAnsiTheme="minorHAnsi" w:cstheme="minorHAnsi"/>
          <w:i/>
          <w:iCs/>
          <w:u w:val="single"/>
          <w:lang w:eastAsia="hr-HR"/>
        </w:rPr>
        <w:t>Prihodi od</w:t>
      </w:r>
      <w:r w:rsidR="00B618FC" w:rsidRPr="00C1205D">
        <w:rPr>
          <w:rFonts w:asciiTheme="minorHAnsi" w:hAnsiTheme="minorHAnsi" w:cstheme="minorHAnsi"/>
          <w:i/>
          <w:iCs/>
          <w:u w:val="single"/>
          <w:lang w:eastAsia="hr-HR"/>
        </w:rPr>
        <w:t xml:space="preserve"> prodaje proizvoda i </w:t>
      </w:r>
      <w:r w:rsidRPr="00C1205D">
        <w:rPr>
          <w:rFonts w:asciiTheme="minorHAnsi" w:hAnsiTheme="minorHAnsi" w:cstheme="minorHAnsi"/>
          <w:i/>
          <w:iCs/>
          <w:u w:val="single"/>
          <w:lang w:eastAsia="hr-HR"/>
        </w:rPr>
        <w:t xml:space="preserve"> pruženih usluga</w:t>
      </w:r>
      <w:r w:rsidR="004A59FB" w:rsidRPr="00C1205D">
        <w:rPr>
          <w:rFonts w:asciiTheme="minorHAnsi" w:hAnsiTheme="minorHAnsi" w:cstheme="minorHAnsi"/>
          <w:i/>
          <w:iCs/>
          <w:u w:val="single"/>
          <w:lang w:eastAsia="hr-HR"/>
        </w:rPr>
        <w:t xml:space="preserve"> i prihodi od donacija</w:t>
      </w:r>
      <w:r w:rsidR="0060404B" w:rsidRPr="00C1205D">
        <w:rPr>
          <w:rFonts w:asciiTheme="minorHAnsi" w:hAnsiTheme="minorHAnsi" w:cstheme="minorHAnsi"/>
          <w:i/>
          <w:iCs/>
          <w:u w:val="single"/>
          <w:lang w:eastAsia="hr-HR"/>
        </w:rPr>
        <w:t xml:space="preserve"> (66)</w:t>
      </w:r>
      <w:r w:rsidRPr="00C1205D">
        <w:rPr>
          <w:rFonts w:asciiTheme="minorHAnsi" w:hAnsiTheme="minorHAnsi" w:cstheme="minorHAnsi"/>
          <w:lang w:eastAsia="hr-HR"/>
        </w:rPr>
        <w:t xml:space="preserve"> iznose </w:t>
      </w:r>
      <w:r w:rsidR="006A06DA">
        <w:rPr>
          <w:rFonts w:asciiTheme="minorHAnsi" w:hAnsiTheme="minorHAnsi" w:cstheme="minorHAnsi"/>
          <w:lang w:eastAsia="hr-HR"/>
        </w:rPr>
        <w:t>75.137,77</w:t>
      </w:r>
      <w:r w:rsidR="0060404B" w:rsidRPr="00C1205D">
        <w:rPr>
          <w:rFonts w:asciiTheme="minorHAnsi" w:hAnsiTheme="minorHAnsi" w:cstheme="minorHAnsi"/>
          <w:lang w:eastAsia="hr-HR"/>
        </w:rPr>
        <w:t xml:space="preserve"> eura</w:t>
      </w:r>
      <w:r w:rsidR="00281E0C">
        <w:rPr>
          <w:rFonts w:asciiTheme="minorHAnsi" w:hAnsiTheme="minorHAnsi" w:cstheme="minorHAnsi"/>
          <w:lang w:eastAsia="hr-HR"/>
        </w:rPr>
        <w:t xml:space="preserve"> i bilježe povećanje od </w:t>
      </w:r>
      <w:r w:rsidR="006A06DA">
        <w:rPr>
          <w:rFonts w:asciiTheme="minorHAnsi" w:hAnsiTheme="minorHAnsi" w:cstheme="minorHAnsi"/>
          <w:lang w:eastAsia="hr-HR"/>
        </w:rPr>
        <w:t>3,73</w:t>
      </w:r>
      <w:r w:rsidR="00281E0C">
        <w:rPr>
          <w:rFonts w:asciiTheme="minorHAnsi" w:hAnsiTheme="minorHAnsi" w:cstheme="minorHAnsi"/>
          <w:lang w:eastAsia="hr-HR"/>
        </w:rPr>
        <w:t>% u odnosu na prošlu godinu. Isti</w:t>
      </w:r>
      <w:r w:rsidRPr="00C1205D">
        <w:rPr>
          <w:rFonts w:asciiTheme="minorHAnsi" w:hAnsiTheme="minorHAnsi" w:cstheme="minorHAnsi"/>
          <w:lang w:eastAsia="hr-HR"/>
        </w:rPr>
        <w:t xml:space="preserve"> </w:t>
      </w:r>
      <w:r w:rsidR="004A59FB" w:rsidRPr="00C1205D">
        <w:rPr>
          <w:rFonts w:asciiTheme="minorHAnsi" w:hAnsiTheme="minorHAnsi" w:cstheme="minorHAnsi"/>
          <w:lang w:eastAsia="hr-HR"/>
        </w:rPr>
        <w:t xml:space="preserve"> sadržavaju:</w:t>
      </w:r>
      <w:r w:rsidRPr="00C1205D">
        <w:rPr>
          <w:rFonts w:asciiTheme="minorHAnsi" w:hAnsiTheme="minorHAnsi" w:cstheme="minorHAnsi"/>
          <w:lang w:eastAsia="hr-HR"/>
        </w:rPr>
        <w:t xml:space="preserve"> </w:t>
      </w:r>
    </w:p>
    <w:p w14:paraId="6EC97FC3" w14:textId="33F2E816" w:rsidR="004A59FB" w:rsidRPr="00C1205D" w:rsidRDefault="004A59FB" w:rsidP="00106FBB">
      <w:pPr>
        <w:pStyle w:val="Odlomakpopisa"/>
        <w:widowControl w:val="0"/>
        <w:numPr>
          <w:ilvl w:val="0"/>
          <w:numId w:val="13"/>
        </w:numPr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Prihode od prodaje proizvoda (6614)  Javne ustanova Garešnica od prodaje suvenira u iznosu od 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>2.217,50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eura. </w:t>
      </w:r>
    </w:p>
    <w:p w14:paraId="43375BE4" w14:textId="49E3820B" w:rsidR="004A59FB" w:rsidRPr="00C1205D" w:rsidRDefault="004A59FB" w:rsidP="00106FBB">
      <w:pPr>
        <w:pStyle w:val="Odlomakpopisa"/>
        <w:widowControl w:val="0"/>
        <w:numPr>
          <w:ilvl w:val="0"/>
          <w:numId w:val="13"/>
        </w:numPr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Prihode od pruženih usluga (6615) 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 xml:space="preserve">u 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>izno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>su od 39.033,11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 xml:space="preserve"> eura i odnose se na fakturiranje usluge obračuna i naplate naknade za uređenje voda koju Grad obavlja za Hrvatske vode i isporuku</w:t>
      </w:r>
      <w:r w:rsidRPr="00C1205D">
        <w:rPr>
          <w:rFonts w:asciiTheme="minorHAnsi" w:hAnsiTheme="minorHAnsi" w:cstheme="minorHAnsi"/>
        </w:rPr>
        <w:t xml:space="preserve"> 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>proizvedenog viška električne energije</w:t>
      </w:r>
      <w:r w:rsidR="007E3606">
        <w:rPr>
          <w:rFonts w:asciiTheme="minorHAnsi" w:hAnsiTheme="minorHAnsi" w:cstheme="minorHAnsi"/>
          <w:sz w:val="22"/>
          <w:szCs w:val="22"/>
          <w:lang w:eastAsia="en-US"/>
        </w:rPr>
        <w:t xml:space="preserve"> u iznosu od 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>11.855,23</w:t>
      </w:r>
      <w:r w:rsidR="007E3606">
        <w:rPr>
          <w:rFonts w:asciiTheme="minorHAnsi" w:hAnsiTheme="minorHAnsi" w:cstheme="minorHAnsi"/>
          <w:sz w:val="22"/>
          <w:szCs w:val="22"/>
          <w:lang w:eastAsia="en-US"/>
        </w:rPr>
        <w:t xml:space="preserve"> €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>, te prihoda proračunskih korisnika: Javne vatrogasne postrojbe za usluge servisa vatrogasnih uređaja</w:t>
      </w:r>
      <w:r w:rsidR="00281E0C">
        <w:rPr>
          <w:rFonts w:asciiTheme="minorHAnsi" w:hAnsiTheme="minorHAnsi" w:cstheme="minorHAnsi"/>
          <w:sz w:val="22"/>
          <w:szCs w:val="22"/>
          <w:lang w:eastAsia="en-US"/>
        </w:rPr>
        <w:t xml:space="preserve"> u iznosu od 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 xml:space="preserve">17.585,96 </w:t>
      </w:r>
      <w:r w:rsidR="00281E0C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Pr="00C1205D">
        <w:rPr>
          <w:rFonts w:asciiTheme="minorHAnsi" w:hAnsiTheme="minorHAnsi" w:cstheme="minorHAnsi"/>
          <w:sz w:val="22"/>
          <w:szCs w:val="22"/>
          <w:lang w:eastAsia="en-US"/>
        </w:rPr>
        <w:t>, prihoda Javne ustanove Garešnica za usluge zakupa dvorana i prodaje ulaznica</w:t>
      </w:r>
      <w:r w:rsidR="007E3606">
        <w:rPr>
          <w:rFonts w:asciiTheme="minorHAnsi" w:hAnsiTheme="minorHAnsi" w:cstheme="minorHAnsi"/>
          <w:sz w:val="22"/>
          <w:szCs w:val="22"/>
          <w:lang w:eastAsia="en-US"/>
        </w:rPr>
        <w:t xml:space="preserve"> u iznosu od 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>9.591,92</w:t>
      </w:r>
      <w:r w:rsidR="00E9037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879BB">
        <w:rPr>
          <w:rFonts w:asciiTheme="minorHAnsi" w:hAnsiTheme="minorHAnsi" w:cstheme="minorHAnsi"/>
          <w:sz w:val="22"/>
          <w:szCs w:val="22"/>
          <w:lang w:eastAsia="en-US"/>
        </w:rPr>
        <w:t>€.</w:t>
      </w:r>
    </w:p>
    <w:p w14:paraId="2ADCBCD8" w14:textId="74C231B1" w:rsidR="00255D73" w:rsidRPr="00C879BB" w:rsidRDefault="004A59FB" w:rsidP="007225A0">
      <w:pPr>
        <w:pStyle w:val="Odlomakpopisa"/>
        <w:widowControl w:val="0"/>
        <w:numPr>
          <w:ilvl w:val="0"/>
          <w:numId w:val="13"/>
        </w:numPr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  <w:r w:rsidRPr="00C879B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Prihod</w:t>
      </w:r>
      <w:r w:rsidR="0053782D" w:rsidRPr="00C879B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</w:t>
      </w:r>
      <w:r w:rsidRPr="00C879B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od  donacija (663)</w:t>
      </w:r>
      <w:r w:rsidR="0053782D" w:rsidRPr="00C879BB">
        <w:rPr>
          <w:rFonts w:asciiTheme="minorHAnsi" w:hAnsiTheme="minorHAnsi" w:cstheme="minorHAnsi"/>
          <w:sz w:val="22"/>
          <w:szCs w:val="22"/>
          <w:lang w:eastAsia="en-US"/>
        </w:rPr>
        <w:t xml:space="preserve"> u iznosu od </w:t>
      </w:r>
      <w:r w:rsidR="00C879BB" w:rsidRPr="00C879BB">
        <w:rPr>
          <w:rFonts w:asciiTheme="minorHAnsi" w:hAnsiTheme="minorHAnsi" w:cstheme="minorHAnsi"/>
          <w:sz w:val="22"/>
          <w:szCs w:val="22"/>
          <w:lang w:eastAsia="en-US"/>
        </w:rPr>
        <w:t>33.887,16</w:t>
      </w:r>
      <w:r w:rsidR="00E9037B" w:rsidRPr="00C879BB">
        <w:rPr>
          <w:rFonts w:asciiTheme="minorHAnsi" w:hAnsiTheme="minorHAnsi" w:cstheme="minorHAnsi"/>
          <w:sz w:val="22"/>
          <w:szCs w:val="22"/>
          <w:lang w:eastAsia="en-US"/>
        </w:rPr>
        <w:t xml:space="preserve"> €</w:t>
      </w:r>
      <w:r w:rsidR="0053782D" w:rsidRPr="00C879B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D6387">
        <w:rPr>
          <w:rFonts w:asciiTheme="minorHAnsi" w:hAnsiTheme="minorHAnsi" w:cstheme="minorHAnsi"/>
          <w:sz w:val="22"/>
          <w:szCs w:val="22"/>
          <w:lang w:eastAsia="en-US"/>
        </w:rPr>
        <w:t xml:space="preserve">čini </w:t>
      </w:r>
      <w:proofErr w:type="spellStart"/>
      <w:r w:rsidR="002D6387">
        <w:rPr>
          <w:rFonts w:asciiTheme="minorHAnsi" w:hAnsiTheme="minorHAnsi" w:cstheme="minorHAnsi"/>
          <w:sz w:val="22"/>
          <w:szCs w:val="22"/>
          <w:lang w:eastAsia="en-US"/>
        </w:rPr>
        <w:t>nasljeđena</w:t>
      </w:r>
      <w:proofErr w:type="spellEnd"/>
      <w:r w:rsidR="002D6387">
        <w:rPr>
          <w:rFonts w:asciiTheme="minorHAnsi" w:hAnsiTheme="minorHAnsi" w:cstheme="minorHAnsi"/>
          <w:sz w:val="22"/>
          <w:szCs w:val="22"/>
          <w:lang w:eastAsia="en-US"/>
        </w:rPr>
        <w:t xml:space="preserve"> (</w:t>
      </w:r>
      <w:proofErr w:type="spellStart"/>
      <w:r w:rsidR="002D6387">
        <w:rPr>
          <w:rFonts w:asciiTheme="minorHAnsi" w:hAnsiTheme="minorHAnsi" w:cstheme="minorHAnsi"/>
          <w:sz w:val="22"/>
          <w:szCs w:val="22"/>
          <w:lang w:eastAsia="en-US"/>
        </w:rPr>
        <w:t>ošasna</w:t>
      </w:r>
      <w:proofErr w:type="spellEnd"/>
      <w:r w:rsidR="002D6387">
        <w:rPr>
          <w:rFonts w:asciiTheme="minorHAnsi" w:hAnsiTheme="minorHAnsi" w:cstheme="minorHAnsi"/>
          <w:sz w:val="22"/>
          <w:szCs w:val="22"/>
          <w:lang w:eastAsia="en-US"/>
        </w:rPr>
        <w:t xml:space="preserve">) imovina u iznosu od </w:t>
      </w:r>
      <w:r w:rsidR="002D6387" w:rsidRPr="002D6387">
        <w:rPr>
          <w:rFonts w:asciiTheme="minorHAnsi" w:hAnsiTheme="minorHAnsi" w:cstheme="minorHAnsi"/>
          <w:sz w:val="22"/>
          <w:szCs w:val="22"/>
          <w:lang w:eastAsia="en-US"/>
        </w:rPr>
        <w:t>14.220,88</w:t>
      </w:r>
      <w:r w:rsidR="002D6387">
        <w:rPr>
          <w:rFonts w:asciiTheme="minorHAnsi" w:hAnsiTheme="minorHAnsi" w:cstheme="minorHAnsi"/>
          <w:sz w:val="22"/>
          <w:szCs w:val="22"/>
          <w:lang w:eastAsia="en-US"/>
        </w:rPr>
        <w:t xml:space="preserve"> €,</w:t>
      </w:r>
      <w:r w:rsidR="00C8591D">
        <w:rPr>
          <w:rFonts w:asciiTheme="minorHAnsi" w:hAnsiTheme="minorHAnsi" w:cstheme="minorHAnsi"/>
          <w:sz w:val="22"/>
          <w:szCs w:val="22"/>
          <w:lang w:eastAsia="en-US"/>
        </w:rPr>
        <w:t xml:space="preserve"> prijenos zemljišta na kojemu se nalazi nogometno igralište u Tomašici u vlasništvo Grada Garešnice u vrijednosti 18.910,70 €, tekuće i kapitalne donacije korisnika Dječjeg vrtića Maslačak u iznosu od 655,58 eura, tekuće donacije korisnika Hrvatske knjižnice i čitaonice u vrijednosti od 100,00 eura.</w:t>
      </w:r>
    </w:p>
    <w:p w14:paraId="5FDA938A" w14:textId="0B6B5F16" w:rsidR="00665525" w:rsidRPr="00665525" w:rsidRDefault="00E63A31" w:rsidP="00106FBB">
      <w:pPr>
        <w:spacing w:line="240" w:lineRule="auto"/>
        <w:jc w:val="both"/>
        <w:rPr>
          <w:rFonts w:asciiTheme="minorHAnsi" w:hAnsiTheme="minorHAnsi" w:cstheme="minorHAnsi"/>
        </w:rPr>
      </w:pPr>
      <w:r w:rsidRPr="00E63A31">
        <w:rPr>
          <w:rFonts w:asciiTheme="minorHAnsi" w:hAnsiTheme="minorHAnsi" w:cstheme="minorHAnsi"/>
          <w:i/>
          <w:iCs/>
          <w:u w:val="single"/>
        </w:rPr>
        <w:t>Kazne, upravne mjere i ostali prihodi</w:t>
      </w:r>
      <w:r w:rsidR="007930D8" w:rsidRPr="00E63A31">
        <w:rPr>
          <w:rFonts w:asciiTheme="minorHAnsi" w:hAnsiTheme="minorHAnsi" w:cstheme="minorHAnsi"/>
          <w:i/>
          <w:iCs/>
          <w:u w:val="single"/>
        </w:rPr>
        <w:t xml:space="preserve"> (</w:t>
      </w:r>
      <w:r w:rsidR="008D4A5C" w:rsidRPr="00E63A31">
        <w:rPr>
          <w:rFonts w:asciiTheme="minorHAnsi" w:hAnsiTheme="minorHAnsi" w:cstheme="minorHAnsi"/>
          <w:i/>
          <w:iCs/>
          <w:u w:val="single"/>
        </w:rPr>
        <w:t>68)</w:t>
      </w:r>
      <w:r w:rsidR="00BD182E" w:rsidRPr="00C1205D">
        <w:rPr>
          <w:rFonts w:asciiTheme="minorHAnsi" w:hAnsiTheme="minorHAnsi" w:cstheme="minorHAnsi"/>
        </w:rPr>
        <w:t xml:space="preserve"> iznose </w:t>
      </w:r>
      <w:r w:rsidR="00C8591D">
        <w:rPr>
          <w:rFonts w:asciiTheme="minorHAnsi" w:hAnsiTheme="minorHAnsi" w:cstheme="minorHAnsi"/>
        </w:rPr>
        <w:t>8.407,80</w:t>
      </w:r>
      <w:r w:rsidR="001C4720" w:rsidRPr="00C1205D">
        <w:rPr>
          <w:rFonts w:asciiTheme="minorHAnsi" w:hAnsiTheme="minorHAnsi" w:cstheme="minorHAnsi"/>
        </w:rPr>
        <w:t xml:space="preserve"> eura</w:t>
      </w:r>
      <w:r w:rsidR="00BD182E" w:rsidRPr="00C1205D">
        <w:rPr>
          <w:rFonts w:asciiTheme="minorHAnsi" w:hAnsiTheme="minorHAnsi" w:cstheme="minorHAnsi"/>
        </w:rPr>
        <w:t xml:space="preserve"> i odnose se na</w:t>
      </w:r>
      <w:r w:rsidR="001C4720" w:rsidRPr="00C1205D">
        <w:rPr>
          <w:rFonts w:asciiTheme="minorHAnsi" w:hAnsiTheme="minorHAnsi" w:cstheme="minorHAnsi"/>
        </w:rPr>
        <w:t xml:space="preserve"> prihode Grada Garešnica </w:t>
      </w:r>
      <w:r w:rsidR="00BD182E" w:rsidRPr="00C1205D">
        <w:rPr>
          <w:rFonts w:asciiTheme="minorHAnsi" w:hAnsiTheme="minorHAnsi" w:cstheme="minorHAnsi"/>
        </w:rPr>
        <w:t xml:space="preserve"> </w:t>
      </w:r>
      <w:r w:rsidR="001C4720" w:rsidRPr="00C1205D">
        <w:rPr>
          <w:rFonts w:asciiTheme="minorHAnsi" w:hAnsiTheme="minorHAnsi" w:cstheme="minorHAnsi"/>
        </w:rPr>
        <w:t>(</w:t>
      </w:r>
      <w:r w:rsidR="00DD3F83">
        <w:rPr>
          <w:rFonts w:asciiTheme="minorHAnsi" w:hAnsiTheme="minorHAnsi" w:cstheme="minorHAnsi"/>
        </w:rPr>
        <w:t xml:space="preserve">prihodi od </w:t>
      </w:r>
      <w:r w:rsidR="00BD182E" w:rsidRPr="00C1205D">
        <w:rPr>
          <w:rFonts w:asciiTheme="minorHAnsi" w:hAnsiTheme="minorHAnsi" w:cstheme="minorHAnsi"/>
        </w:rPr>
        <w:t>obračunat</w:t>
      </w:r>
      <w:r w:rsidR="001C4720" w:rsidRPr="00C1205D">
        <w:rPr>
          <w:rFonts w:asciiTheme="minorHAnsi" w:hAnsiTheme="minorHAnsi" w:cstheme="minorHAnsi"/>
        </w:rPr>
        <w:t>i</w:t>
      </w:r>
      <w:r w:rsidR="00DD3F83">
        <w:rPr>
          <w:rFonts w:asciiTheme="minorHAnsi" w:hAnsiTheme="minorHAnsi" w:cstheme="minorHAnsi"/>
        </w:rPr>
        <w:t>h</w:t>
      </w:r>
      <w:r w:rsidR="00BD182E" w:rsidRPr="00C1205D">
        <w:rPr>
          <w:rFonts w:asciiTheme="minorHAnsi" w:hAnsiTheme="minorHAnsi" w:cstheme="minorHAnsi"/>
        </w:rPr>
        <w:t xml:space="preserve"> troškov</w:t>
      </w:r>
      <w:r w:rsidR="00DD3F83">
        <w:rPr>
          <w:rFonts w:asciiTheme="minorHAnsi" w:hAnsiTheme="minorHAnsi" w:cstheme="minorHAnsi"/>
        </w:rPr>
        <w:t>a</w:t>
      </w:r>
      <w:r w:rsidR="00BD182E" w:rsidRPr="00C1205D">
        <w:rPr>
          <w:rFonts w:asciiTheme="minorHAnsi" w:hAnsiTheme="minorHAnsi" w:cstheme="minorHAnsi"/>
        </w:rPr>
        <w:t xml:space="preserve"> režija za poslovne prostore,  </w:t>
      </w:r>
      <w:r w:rsidR="00D812A8">
        <w:rPr>
          <w:rFonts w:asciiTheme="minorHAnsi" w:hAnsiTheme="minorHAnsi" w:cstheme="minorHAnsi"/>
        </w:rPr>
        <w:t xml:space="preserve"> troškove </w:t>
      </w:r>
      <w:r w:rsidR="00BD182E" w:rsidRPr="00C1205D">
        <w:rPr>
          <w:rFonts w:asciiTheme="minorHAnsi" w:hAnsiTheme="minorHAnsi" w:cstheme="minorHAnsi"/>
        </w:rPr>
        <w:t>ovršnih</w:t>
      </w:r>
      <w:r w:rsidR="00A36B16" w:rsidRPr="00C1205D">
        <w:rPr>
          <w:rFonts w:asciiTheme="minorHAnsi" w:hAnsiTheme="minorHAnsi" w:cstheme="minorHAnsi"/>
        </w:rPr>
        <w:t xml:space="preserve"> i upravnih</w:t>
      </w:r>
      <w:r w:rsidR="00BD182E" w:rsidRPr="00C1205D">
        <w:rPr>
          <w:rFonts w:asciiTheme="minorHAnsi" w:hAnsiTheme="minorHAnsi" w:cstheme="minorHAnsi"/>
        </w:rPr>
        <w:t xml:space="preserve"> postupaka</w:t>
      </w:r>
      <w:r w:rsidR="001C4720" w:rsidRPr="00C1205D">
        <w:rPr>
          <w:rFonts w:asciiTheme="minorHAnsi" w:hAnsiTheme="minorHAnsi" w:cstheme="minorHAnsi"/>
        </w:rPr>
        <w:t>)</w:t>
      </w:r>
      <w:r w:rsidR="00D812A8">
        <w:rPr>
          <w:rFonts w:asciiTheme="minorHAnsi" w:hAnsiTheme="minorHAnsi" w:cstheme="minorHAnsi"/>
        </w:rPr>
        <w:t>.</w:t>
      </w:r>
      <w:r w:rsidR="001C4720" w:rsidRPr="00C1205D">
        <w:rPr>
          <w:rFonts w:asciiTheme="minorHAnsi" w:hAnsiTheme="minorHAnsi" w:cstheme="minorHAnsi"/>
        </w:rPr>
        <w:t xml:space="preserve"> </w:t>
      </w:r>
    </w:p>
    <w:p w14:paraId="7C05C5DB" w14:textId="0B8CD194" w:rsidR="000E651F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b/>
          <w:bCs/>
        </w:rPr>
        <w:t>Ukupni prihodi od prodaje nefinancijske imovine</w:t>
      </w:r>
      <w:r w:rsidR="001C4720" w:rsidRPr="00C1205D">
        <w:rPr>
          <w:rFonts w:asciiTheme="minorHAnsi" w:hAnsiTheme="minorHAnsi" w:cstheme="minorHAnsi"/>
          <w:b/>
          <w:bCs/>
        </w:rPr>
        <w:t xml:space="preserve"> (7)</w:t>
      </w:r>
      <w:r w:rsidRPr="00C1205D">
        <w:rPr>
          <w:rFonts w:asciiTheme="minorHAnsi" w:hAnsiTheme="minorHAnsi" w:cstheme="minorHAnsi"/>
          <w:b/>
          <w:bCs/>
        </w:rPr>
        <w:t xml:space="preserve"> iznose  </w:t>
      </w:r>
      <w:r w:rsidR="007225A0">
        <w:rPr>
          <w:rFonts w:asciiTheme="minorHAnsi" w:hAnsiTheme="minorHAnsi" w:cstheme="minorHAnsi"/>
          <w:b/>
          <w:bCs/>
        </w:rPr>
        <w:t>51.748,40</w:t>
      </w:r>
      <w:r w:rsidR="001C4720" w:rsidRPr="00C1205D">
        <w:rPr>
          <w:rFonts w:asciiTheme="minorHAnsi" w:hAnsiTheme="minorHAnsi" w:cstheme="minorHAnsi"/>
          <w:b/>
          <w:bCs/>
        </w:rPr>
        <w:t xml:space="preserve"> eura</w:t>
      </w:r>
      <w:r w:rsidR="001C4720" w:rsidRPr="00C1205D">
        <w:rPr>
          <w:rFonts w:asciiTheme="minorHAnsi" w:hAnsiTheme="minorHAnsi" w:cstheme="minorHAnsi"/>
        </w:rPr>
        <w:t xml:space="preserve"> i</w:t>
      </w:r>
      <w:r w:rsidRPr="00C1205D">
        <w:rPr>
          <w:rFonts w:asciiTheme="minorHAnsi" w:hAnsiTheme="minorHAnsi" w:cstheme="minorHAnsi"/>
        </w:rPr>
        <w:t xml:space="preserve"> bilježe </w:t>
      </w:r>
      <w:r w:rsidR="007225A0">
        <w:rPr>
          <w:rFonts w:asciiTheme="minorHAnsi" w:hAnsiTheme="minorHAnsi" w:cstheme="minorHAnsi"/>
        </w:rPr>
        <w:t>smanjenje</w:t>
      </w:r>
      <w:r w:rsidRPr="00C1205D">
        <w:rPr>
          <w:rFonts w:asciiTheme="minorHAnsi" w:hAnsiTheme="minorHAnsi" w:cstheme="minorHAnsi"/>
        </w:rPr>
        <w:t xml:space="preserve"> od </w:t>
      </w:r>
      <w:r w:rsidR="007225A0">
        <w:rPr>
          <w:rFonts w:asciiTheme="minorHAnsi" w:hAnsiTheme="minorHAnsi" w:cstheme="minorHAnsi"/>
        </w:rPr>
        <w:t>26,5</w:t>
      </w:r>
      <w:r w:rsidRPr="00C1205D">
        <w:rPr>
          <w:rFonts w:asciiTheme="minorHAnsi" w:hAnsiTheme="minorHAnsi" w:cstheme="minorHAnsi"/>
        </w:rPr>
        <w:t xml:space="preserve">% u odnosu na isto razdoblje prošle godine. </w:t>
      </w:r>
    </w:p>
    <w:p w14:paraId="5CF9316D" w14:textId="709254C0" w:rsidR="00665525" w:rsidRDefault="000E651F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>Prihodi od prodaje</w:t>
      </w:r>
      <w:r w:rsidR="00BD182E" w:rsidRPr="00C1205D">
        <w:rPr>
          <w:rFonts w:asciiTheme="minorHAnsi" w:hAnsiTheme="minorHAnsi" w:cstheme="minorHAnsi"/>
        </w:rPr>
        <w:t xml:space="preserve"> sastoje</w:t>
      </w:r>
      <w:r w:rsidRPr="00C1205D">
        <w:rPr>
          <w:rFonts w:asciiTheme="minorHAnsi" w:hAnsiTheme="minorHAnsi" w:cstheme="minorHAnsi"/>
        </w:rPr>
        <w:t xml:space="preserve"> se</w:t>
      </w:r>
      <w:r w:rsidR="00BD182E" w:rsidRPr="00C1205D">
        <w:rPr>
          <w:rFonts w:asciiTheme="minorHAnsi" w:hAnsiTheme="minorHAnsi" w:cstheme="minorHAnsi"/>
        </w:rPr>
        <w:t xml:space="preserve"> od: prihoda od prodaje </w:t>
      </w:r>
      <w:r w:rsidR="00AD1627">
        <w:rPr>
          <w:rFonts w:asciiTheme="minorHAnsi" w:hAnsiTheme="minorHAnsi" w:cstheme="minorHAnsi"/>
        </w:rPr>
        <w:t xml:space="preserve">građevinskog i ostalog </w:t>
      </w:r>
      <w:r w:rsidR="00BD182E" w:rsidRPr="00C1205D">
        <w:rPr>
          <w:rFonts w:asciiTheme="minorHAnsi" w:hAnsiTheme="minorHAnsi" w:cstheme="minorHAnsi"/>
        </w:rPr>
        <w:t xml:space="preserve">zemljišta u vlasništvu Grada Garešnice u iznosu od </w:t>
      </w:r>
      <w:r w:rsidR="00AD1627">
        <w:rPr>
          <w:rFonts w:asciiTheme="minorHAnsi" w:hAnsiTheme="minorHAnsi" w:cstheme="minorHAnsi"/>
        </w:rPr>
        <w:t>4</w:t>
      </w:r>
      <w:r w:rsidR="00050439">
        <w:rPr>
          <w:rFonts w:asciiTheme="minorHAnsi" w:hAnsiTheme="minorHAnsi" w:cstheme="minorHAnsi"/>
        </w:rPr>
        <w:t>2.168</w:t>
      </w:r>
      <w:r w:rsidR="00AD1627">
        <w:rPr>
          <w:rFonts w:asciiTheme="minorHAnsi" w:hAnsiTheme="minorHAnsi" w:cstheme="minorHAnsi"/>
        </w:rPr>
        <w:t>,00</w:t>
      </w:r>
      <w:r w:rsidRPr="00C1205D">
        <w:rPr>
          <w:rFonts w:asciiTheme="minorHAnsi" w:hAnsiTheme="minorHAnsi" w:cstheme="minorHAnsi"/>
        </w:rPr>
        <w:t xml:space="preserve"> eura</w:t>
      </w:r>
      <w:r w:rsidR="00BD182E" w:rsidRPr="00C1205D">
        <w:rPr>
          <w:rFonts w:asciiTheme="minorHAnsi" w:hAnsiTheme="minorHAnsi" w:cstheme="minorHAnsi"/>
        </w:rPr>
        <w:t xml:space="preserve">, prihoda od prodaje stanova u državnom vlasništvu (udio Grada 45%) u iznosu od </w:t>
      </w:r>
      <w:r w:rsidR="00AD1627">
        <w:rPr>
          <w:rFonts w:asciiTheme="minorHAnsi" w:hAnsiTheme="minorHAnsi" w:cstheme="minorHAnsi"/>
        </w:rPr>
        <w:t>1.835,</w:t>
      </w:r>
      <w:r w:rsidR="00050439">
        <w:rPr>
          <w:rFonts w:asciiTheme="minorHAnsi" w:hAnsiTheme="minorHAnsi" w:cstheme="minorHAnsi"/>
        </w:rPr>
        <w:t>49</w:t>
      </w:r>
      <w:r w:rsidRPr="00C1205D">
        <w:rPr>
          <w:rFonts w:asciiTheme="minorHAnsi" w:hAnsiTheme="minorHAnsi" w:cstheme="minorHAnsi"/>
        </w:rPr>
        <w:t xml:space="preserve"> eura,</w:t>
      </w:r>
      <w:r w:rsidR="00444F82">
        <w:rPr>
          <w:rFonts w:asciiTheme="minorHAnsi" w:hAnsiTheme="minorHAnsi" w:cstheme="minorHAnsi"/>
        </w:rPr>
        <w:t xml:space="preserve"> </w:t>
      </w:r>
      <w:r w:rsidR="00C11B3A">
        <w:rPr>
          <w:rFonts w:asciiTheme="minorHAnsi" w:hAnsiTheme="minorHAnsi" w:cstheme="minorHAnsi"/>
        </w:rPr>
        <w:t xml:space="preserve"> prihoda Osnovne škole Trnovitički Popovac </w:t>
      </w:r>
      <w:r w:rsidR="00050439">
        <w:rPr>
          <w:rFonts w:asciiTheme="minorHAnsi" w:hAnsiTheme="minorHAnsi" w:cstheme="minorHAnsi"/>
        </w:rPr>
        <w:t xml:space="preserve">temeljem prodaje </w:t>
      </w:r>
      <w:r w:rsidR="00C11B3A" w:rsidRPr="00C11B3A">
        <w:rPr>
          <w:rFonts w:asciiTheme="minorHAnsi" w:hAnsiTheme="minorHAnsi" w:cstheme="minorHAnsi"/>
        </w:rPr>
        <w:t>star</w:t>
      </w:r>
      <w:r w:rsidR="00050439">
        <w:rPr>
          <w:rFonts w:asciiTheme="minorHAnsi" w:hAnsiTheme="minorHAnsi" w:cstheme="minorHAnsi"/>
        </w:rPr>
        <w:t>e</w:t>
      </w:r>
      <w:r w:rsidR="00C11B3A" w:rsidRPr="00C11B3A">
        <w:rPr>
          <w:rFonts w:asciiTheme="minorHAnsi" w:hAnsiTheme="minorHAnsi" w:cstheme="minorHAnsi"/>
        </w:rPr>
        <w:t xml:space="preserve"> školsk</w:t>
      </w:r>
      <w:r w:rsidR="00050439">
        <w:rPr>
          <w:rFonts w:asciiTheme="minorHAnsi" w:hAnsiTheme="minorHAnsi" w:cstheme="minorHAnsi"/>
        </w:rPr>
        <w:t>e</w:t>
      </w:r>
      <w:r w:rsidR="00C11B3A" w:rsidRPr="00C11B3A">
        <w:rPr>
          <w:rFonts w:asciiTheme="minorHAnsi" w:hAnsiTheme="minorHAnsi" w:cstheme="minorHAnsi"/>
        </w:rPr>
        <w:t xml:space="preserve"> zgrad</w:t>
      </w:r>
      <w:r w:rsidR="00050439">
        <w:rPr>
          <w:rFonts w:asciiTheme="minorHAnsi" w:hAnsiTheme="minorHAnsi" w:cstheme="minorHAnsi"/>
        </w:rPr>
        <w:t>e</w:t>
      </w:r>
      <w:r w:rsidR="00C11B3A" w:rsidRPr="00C11B3A">
        <w:rPr>
          <w:rFonts w:asciiTheme="minorHAnsi" w:hAnsiTheme="minorHAnsi" w:cstheme="minorHAnsi"/>
        </w:rPr>
        <w:t xml:space="preserve"> u Gornjoj Garešnici</w:t>
      </w:r>
      <w:r w:rsidR="00050439">
        <w:rPr>
          <w:rFonts w:asciiTheme="minorHAnsi" w:hAnsiTheme="minorHAnsi" w:cstheme="minorHAnsi"/>
        </w:rPr>
        <w:t xml:space="preserve"> u iznosu od 6.450,00 €, te prihode od prodaje rashodovanog osobnog automobila u vlasništvu Dječjeg vrtića Maslačak  u iznosu od 1.294,91 €.</w:t>
      </w:r>
    </w:p>
    <w:p w14:paraId="2BDDC806" w14:textId="77777777" w:rsidR="00665525" w:rsidRDefault="00665525" w:rsidP="00106FB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89BB538" w14:textId="4935E7C0" w:rsidR="003149F5" w:rsidRPr="00C1205D" w:rsidRDefault="00BD182E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b/>
        </w:rPr>
        <w:t>Rashodi poslovanja</w:t>
      </w:r>
      <w:r w:rsidR="00245CD7" w:rsidRPr="00C1205D">
        <w:rPr>
          <w:rFonts w:asciiTheme="minorHAnsi" w:hAnsiTheme="minorHAnsi" w:cstheme="minorHAnsi"/>
          <w:b/>
        </w:rPr>
        <w:t xml:space="preserve"> (3)</w:t>
      </w:r>
      <w:r w:rsidRPr="00C1205D">
        <w:rPr>
          <w:rFonts w:asciiTheme="minorHAnsi" w:hAnsiTheme="minorHAnsi" w:cstheme="minorHAnsi"/>
          <w:bCs/>
        </w:rPr>
        <w:t xml:space="preserve"> iznose </w:t>
      </w:r>
      <w:r w:rsidR="0078011A">
        <w:rPr>
          <w:rFonts w:asciiTheme="minorHAnsi" w:hAnsiTheme="minorHAnsi" w:cstheme="minorHAnsi"/>
          <w:bCs/>
        </w:rPr>
        <w:t>5.976.601,56</w:t>
      </w:r>
      <w:r w:rsidR="00E57F70" w:rsidRPr="00C1205D">
        <w:rPr>
          <w:rFonts w:asciiTheme="minorHAnsi" w:hAnsiTheme="minorHAnsi" w:cstheme="minorHAnsi"/>
          <w:bCs/>
        </w:rPr>
        <w:t xml:space="preserve"> eura</w:t>
      </w:r>
      <w:r w:rsidR="0078011A">
        <w:rPr>
          <w:rFonts w:asciiTheme="minorHAnsi" w:hAnsiTheme="minorHAnsi" w:cstheme="minorHAnsi"/>
        </w:rPr>
        <w:t>,</w:t>
      </w:r>
      <w:r w:rsidR="003C6EBE" w:rsidRPr="00C1205D">
        <w:rPr>
          <w:rFonts w:asciiTheme="minorHAnsi" w:hAnsiTheme="minorHAnsi" w:cstheme="minorHAnsi"/>
        </w:rPr>
        <w:t xml:space="preserve"> </w:t>
      </w:r>
      <w:r w:rsidRPr="00C1205D">
        <w:rPr>
          <w:rFonts w:asciiTheme="minorHAnsi" w:hAnsiTheme="minorHAnsi" w:cstheme="minorHAnsi"/>
        </w:rPr>
        <w:t xml:space="preserve"> čine </w:t>
      </w:r>
      <w:r w:rsidR="0078011A">
        <w:rPr>
          <w:rFonts w:asciiTheme="minorHAnsi" w:hAnsiTheme="minorHAnsi" w:cstheme="minorHAnsi"/>
        </w:rPr>
        <w:t>44,01</w:t>
      </w:r>
      <w:r w:rsidRPr="00C1205D">
        <w:rPr>
          <w:rFonts w:asciiTheme="minorHAnsi" w:hAnsiTheme="minorHAnsi" w:cstheme="minorHAnsi"/>
        </w:rPr>
        <w:t>% izvršenja tekućeg plana i</w:t>
      </w:r>
      <w:r w:rsidR="003C6EBE" w:rsidRPr="00C1205D">
        <w:rPr>
          <w:rFonts w:asciiTheme="minorHAnsi" w:hAnsiTheme="minorHAnsi" w:cstheme="minorHAnsi"/>
        </w:rPr>
        <w:t xml:space="preserve"> veći</w:t>
      </w:r>
      <w:r w:rsidRPr="00C1205D">
        <w:rPr>
          <w:rFonts w:asciiTheme="minorHAnsi" w:hAnsiTheme="minorHAnsi" w:cstheme="minorHAnsi"/>
        </w:rPr>
        <w:t xml:space="preserve">  su za </w:t>
      </w:r>
      <w:r w:rsidR="0078011A">
        <w:rPr>
          <w:rFonts w:asciiTheme="minorHAnsi" w:hAnsiTheme="minorHAnsi" w:cstheme="minorHAnsi"/>
        </w:rPr>
        <w:t>29,95</w:t>
      </w:r>
      <w:r w:rsidRPr="00C1205D">
        <w:rPr>
          <w:rFonts w:asciiTheme="minorHAnsi" w:hAnsiTheme="minorHAnsi" w:cstheme="minorHAnsi"/>
        </w:rPr>
        <w:t xml:space="preserve">% u odnosu na isto razdoblje prošle </w:t>
      </w:r>
      <w:r w:rsidRPr="00C1205D">
        <w:rPr>
          <w:rFonts w:asciiTheme="minorHAnsi" w:hAnsiTheme="minorHAnsi" w:cstheme="minorHAnsi"/>
          <w:lang w:eastAsia="hr-HR"/>
        </w:rPr>
        <w:t>godine.</w:t>
      </w:r>
      <w:r w:rsidR="00E877C6" w:rsidRPr="00C1205D">
        <w:rPr>
          <w:rFonts w:asciiTheme="minorHAnsi" w:hAnsiTheme="minorHAnsi" w:cstheme="minorHAnsi"/>
          <w:lang w:eastAsia="hr-HR"/>
        </w:rPr>
        <w:t xml:space="preserve"> </w:t>
      </w:r>
      <w:r w:rsidR="00584590">
        <w:rPr>
          <w:rFonts w:asciiTheme="minorHAnsi" w:hAnsiTheme="minorHAnsi" w:cstheme="minorHAnsi"/>
          <w:lang w:eastAsia="hr-HR"/>
        </w:rPr>
        <w:t xml:space="preserve">Najveće povećanje bilježe rashodi za zaposlene, </w:t>
      </w:r>
      <w:r w:rsidR="0078011A">
        <w:rPr>
          <w:rFonts w:asciiTheme="minorHAnsi" w:hAnsiTheme="minorHAnsi" w:cstheme="minorHAnsi"/>
          <w:lang w:eastAsia="hr-HR"/>
        </w:rPr>
        <w:t>financijski rashodi, rashodi za donacije te rashodi za nabavu nefinancijske imovine.</w:t>
      </w:r>
    </w:p>
    <w:p w14:paraId="2423B22C" w14:textId="77777777" w:rsidR="00DD7B2C" w:rsidRDefault="00DD7B2C" w:rsidP="00106FBB">
      <w:pPr>
        <w:pStyle w:val="Odlomakpopisa"/>
        <w:ind w:left="0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50476489" w14:textId="36B77751" w:rsidR="00A4037A" w:rsidRDefault="00BD182E" w:rsidP="007254E2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205D">
        <w:rPr>
          <w:rFonts w:asciiTheme="minorHAnsi" w:hAnsiTheme="minorHAnsi" w:cstheme="minorHAnsi"/>
          <w:i/>
          <w:iCs/>
          <w:sz w:val="22"/>
          <w:szCs w:val="22"/>
          <w:u w:val="single"/>
        </w:rPr>
        <w:t>Rashodi za zaposlene</w:t>
      </w:r>
      <w:r w:rsidR="0010269A" w:rsidRPr="00C1205D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(31</w:t>
      </w:r>
      <w:r w:rsidR="0010269A" w:rsidRPr="00C1205D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C1205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1205D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E1302B">
        <w:rPr>
          <w:rFonts w:asciiTheme="minorHAnsi" w:hAnsiTheme="minorHAnsi" w:cstheme="minorHAnsi"/>
          <w:sz w:val="22"/>
          <w:szCs w:val="22"/>
        </w:rPr>
        <w:t>3.878.773,37</w:t>
      </w:r>
      <w:r w:rsidR="00E57F70" w:rsidRPr="00C1205D">
        <w:rPr>
          <w:rFonts w:asciiTheme="minorHAnsi" w:hAnsiTheme="minorHAnsi" w:cstheme="minorHAnsi"/>
          <w:sz w:val="22"/>
          <w:szCs w:val="22"/>
        </w:rPr>
        <w:t xml:space="preserve"> eura bilježe povećanje u iznosu od</w:t>
      </w:r>
      <w:r w:rsidR="00E1302B">
        <w:rPr>
          <w:rFonts w:asciiTheme="minorHAnsi" w:hAnsiTheme="minorHAnsi" w:cstheme="minorHAnsi"/>
          <w:sz w:val="22"/>
          <w:szCs w:val="22"/>
        </w:rPr>
        <w:t xml:space="preserve"> 36,63</w:t>
      </w:r>
      <w:r w:rsidR="00E57F70" w:rsidRPr="00C1205D">
        <w:rPr>
          <w:rFonts w:asciiTheme="minorHAnsi" w:hAnsiTheme="minorHAnsi" w:cstheme="minorHAnsi"/>
          <w:sz w:val="22"/>
          <w:szCs w:val="22"/>
        </w:rPr>
        <w:t>%,</w:t>
      </w:r>
      <w:r w:rsidR="00E1302B">
        <w:rPr>
          <w:rFonts w:asciiTheme="minorHAnsi" w:hAnsiTheme="minorHAnsi" w:cstheme="minorHAnsi"/>
          <w:sz w:val="22"/>
          <w:szCs w:val="22"/>
        </w:rPr>
        <w:t xml:space="preserve"> temeljem povećanja plaća u odnosu na isto razdoblje prošle godine te eviden</w:t>
      </w:r>
      <w:r w:rsidR="007254E2">
        <w:rPr>
          <w:rFonts w:asciiTheme="minorHAnsi" w:hAnsiTheme="minorHAnsi" w:cstheme="minorHAnsi"/>
          <w:sz w:val="22"/>
          <w:szCs w:val="22"/>
        </w:rPr>
        <w:t>tiranja troškova sedam mjesečnih plaća kod osnovnih škola,</w:t>
      </w:r>
      <w:r w:rsidR="00E57F70" w:rsidRPr="00C1205D">
        <w:rPr>
          <w:rFonts w:asciiTheme="minorHAnsi" w:hAnsiTheme="minorHAnsi" w:cstheme="minorHAnsi"/>
          <w:sz w:val="22"/>
          <w:szCs w:val="22"/>
        </w:rPr>
        <w:t xml:space="preserve"> a</w:t>
      </w:r>
      <w:r w:rsidRPr="00C1205D">
        <w:rPr>
          <w:rFonts w:asciiTheme="minorHAnsi" w:hAnsiTheme="minorHAnsi" w:cstheme="minorHAnsi"/>
          <w:sz w:val="22"/>
          <w:szCs w:val="22"/>
        </w:rPr>
        <w:t xml:space="preserve"> sastoje se od rashoda za:</w:t>
      </w:r>
    </w:p>
    <w:p w14:paraId="4BE6D2A6" w14:textId="77777777" w:rsidR="00584590" w:rsidRPr="00255D73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sz w:val="10"/>
          <w:szCs w:val="10"/>
          <w:lang w:eastAsia="hr-HR"/>
        </w:rPr>
      </w:pPr>
    </w:p>
    <w:p w14:paraId="09AFE079" w14:textId="7E207232" w:rsidR="00584590" w:rsidRPr="00157A05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  <w:r>
        <w:rPr>
          <w:lang w:eastAsia="hr-HR"/>
        </w:rPr>
        <w:t xml:space="preserve">Rashode za zaposlene u Gradu Garešnici u iznosu od </w:t>
      </w:r>
      <w:r w:rsidR="00E1302B">
        <w:rPr>
          <w:lang w:eastAsia="hr-HR"/>
        </w:rPr>
        <w:t>556.618,26</w:t>
      </w:r>
      <w:r>
        <w:rPr>
          <w:lang w:eastAsia="hr-HR"/>
        </w:rPr>
        <w:t xml:space="preserve"> € i obuhvaća:</w:t>
      </w:r>
    </w:p>
    <w:p w14:paraId="3B433C40" w14:textId="52423605" w:rsidR="00584590" w:rsidRPr="00157A05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  <w:r w:rsidRPr="00157A05">
        <w:rPr>
          <w:lang w:eastAsia="hr-HR"/>
        </w:rPr>
        <w:t xml:space="preserve">- rashode za redovno zaposlene u javnoj upravi koje iznose </w:t>
      </w:r>
      <w:r w:rsidR="00E1302B">
        <w:rPr>
          <w:lang w:eastAsia="hr-HR"/>
        </w:rPr>
        <w:t>333.432,20</w:t>
      </w:r>
      <w:r w:rsidRPr="00157A05">
        <w:rPr>
          <w:lang w:eastAsia="hr-HR"/>
        </w:rPr>
        <w:t xml:space="preserve"> €,</w:t>
      </w:r>
    </w:p>
    <w:p w14:paraId="1D6B493B" w14:textId="3D6E4B69" w:rsidR="00584590" w:rsidRPr="00157A05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  <w:r w:rsidRPr="00157A05">
        <w:rPr>
          <w:lang w:eastAsia="hr-HR"/>
        </w:rPr>
        <w:t xml:space="preserve">- zaposlene u programu Javnih radova u iznosu od </w:t>
      </w:r>
      <w:r w:rsidR="00E1302B">
        <w:rPr>
          <w:lang w:eastAsia="hr-HR"/>
        </w:rPr>
        <w:t>5.356,73</w:t>
      </w:r>
      <w:r w:rsidRPr="00157A05">
        <w:rPr>
          <w:lang w:eastAsia="hr-HR"/>
        </w:rPr>
        <w:t xml:space="preserve"> €,</w:t>
      </w:r>
    </w:p>
    <w:p w14:paraId="37E51814" w14:textId="623FA5C0" w:rsidR="00584590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  <w:r w:rsidRPr="00157A05">
        <w:rPr>
          <w:lang w:eastAsia="hr-HR"/>
        </w:rPr>
        <w:t xml:space="preserve">- zaposlene temeljem projekta „Nikad nije kasno -  faza IV“  u iznosu od </w:t>
      </w:r>
      <w:r w:rsidR="00E1302B">
        <w:rPr>
          <w:lang w:eastAsia="hr-HR"/>
        </w:rPr>
        <w:t>217.829,33</w:t>
      </w:r>
      <w:r w:rsidRPr="00157A05">
        <w:rPr>
          <w:lang w:eastAsia="hr-HR"/>
        </w:rPr>
        <w:t xml:space="preserve"> € (započeo u ožujku 202</w:t>
      </w:r>
      <w:r>
        <w:rPr>
          <w:lang w:eastAsia="hr-HR"/>
        </w:rPr>
        <w:t>4</w:t>
      </w:r>
      <w:r w:rsidRPr="00157A05">
        <w:rPr>
          <w:lang w:eastAsia="hr-HR"/>
        </w:rPr>
        <w:t xml:space="preserve">. godine i zaposleno je 30 žena) </w:t>
      </w:r>
    </w:p>
    <w:p w14:paraId="3A66738D" w14:textId="77777777" w:rsidR="00584590" w:rsidRPr="00255D73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sz w:val="10"/>
          <w:szCs w:val="10"/>
          <w:lang w:eastAsia="hr-HR"/>
        </w:rPr>
      </w:pPr>
    </w:p>
    <w:p w14:paraId="353F25E6" w14:textId="712C026B" w:rsidR="00584590" w:rsidRPr="00413F8F" w:rsidRDefault="005845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  <w:r w:rsidRPr="00413F8F">
        <w:rPr>
          <w:lang w:eastAsia="hr-HR"/>
        </w:rPr>
        <w:t xml:space="preserve">Iznosi rashoda za zaposlene </w:t>
      </w:r>
      <w:r>
        <w:rPr>
          <w:lang w:eastAsia="hr-HR"/>
        </w:rPr>
        <w:t>k</w:t>
      </w:r>
      <w:r w:rsidRPr="00413F8F">
        <w:rPr>
          <w:lang w:eastAsia="hr-HR"/>
        </w:rPr>
        <w:t>od korisnika:</w:t>
      </w:r>
    </w:p>
    <w:p w14:paraId="529DB967" w14:textId="6AAEBD91" w:rsidR="00584590" w:rsidRPr="00413F8F" w:rsidRDefault="00584590" w:rsidP="00106F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lang w:eastAsia="hr-HR"/>
        </w:rPr>
      </w:pPr>
      <w:r w:rsidRPr="00413F8F">
        <w:rPr>
          <w:lang w:eastAsia="hr-HR"/>
        </w:rPr>
        <w:t xml:space="preserve">Javna vatrogasna postrojba u iznosu od </w:t>
      </w:r>
      <w:r w:rsidR="00E1302B">
        <w:rPr>
          <w:lang w:eastAsia="hr-HR"/>
        </w:rPr>
        <w:t>443.111,23</w:t>
      </w:r>
      <w:r w:rsidRPr="00413F8F">
        <w:rPr>
          <w:lang w:eastAsia="hr-HR"/>
        </w:rPr>
        <w:t xml:space="preserve"> €,</w:t>
      </w:r>
      <w:r w:rsidRPr="006F59CD">
        <w:rPr>
          <w:lang w:eastAsia="hr-HR"/>
        </w:rPr>
        <w:t xml:space="preserve"> </w:t>
      </w:r>
    </w:p>
    <w:p w14:paraId="07DE7DE3" w14:textId="73A15F97" w:rsidR="00584590" w:rsidRPr="00413F8F" w:rsidRDefault="00584590" w:rsidP="00106F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lang w:eastAsia="hr-HR"/>
        </w:rPr>
      </w:pPr>
      <w:r w:rsidRPr="00413F8F">
        <w:rPr>
          <w:lang w:eastAsia="hr-HR"/>
        </w:rPr>
        <w:t xml:space="preserve">Dječji vrtić Maslačak u iznosu od </w:t>
      </w:r>
      <w:r w:rsidR="00E1302B">
        <w:rPr>
          <w:lang w:eastAsia="hr-HR"/>
        </w:rPr>
        <w:t>882.856,44</w:t>
      </w:r>
      <w:r w:rsidRPr="00413F8F">
        <w:rPr>
          <w:lang w:eastAsia="hr-HR"/>
        </w:rPr>
        <w:t xml:space="preserve"> €,</w:t>
      </w:r>
      <w:r w:rsidRPr="006F59CD">
        <w:rPr>
          <w:lang w:eastAsia="hr-HR"/>
        </w:rPr>
        <w:t xml:space="preserve"> </w:t>
      </w:r>
    </w:p>
    <w:p w14:paraId="7D901C4B" w14:textId="1A81A517" w:rsidR="00584590" w:rsidRPr="00413F8F" w:rsidRDefault="00584590" w:rsidP="00106F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lang w:eastAsia="hr-HR"/>
        </w:rPr>
      </w:pPr>
      <w:r w:rsidRPr="00413F8F">
        <w:rPr>
          <w:lang w:eastAsia="hr-HR"/>
        </w:rPr>
        <w:t>Hrvatska knjižnica i čitaonica u iznosu od</w:t>
      </w:r>
      <w:r>
        <w:rPr>
          <w:lang w:eastAsia="hr-HR"/>
        </w:rPr>
        <w:t xml:space="preserve"> </w:t>
      </w:r>
      <w:r w:rsidR="00E1302B">
        <w:rPr>
          <w:lang w:eastAsia="hr-HR"/>
        </w:rPr>
        <w:t>62.837,36</w:t>
      </w:r>
      <w:r w:rsidRPr="00413F8F">
        <w:rPr>
          <w:lang w:eastAsia="hr-HR"/>
        </w:rPr>
        <w:t xml:space="preserve"> €</w:t>
      </w:r>
      <w:r>
        <w:rPr>
          <w:lang w:eastAsia="hr-HR"/>
        </w:rPr>
        <w:t xml:space="preserve">, </w:t>
      </w:r>
    </w:p>
    <w:p w14:paraId="1C9A573E" w14:textId="09E0AFF9" w:rsidR="00584590" w:rsidRPr="00413F8F" w:rsidRDefault="00584590" w:rsidP="00106F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lang w:eastAsia="hr-HR"/>
        </w:rPr>
      </w:pPr>
      <w:r w:rsidRPr="00413F8F">
        <w:rPr>
          <w:lang w:eastAsia="hr-HR"/>
        </w:rPr>
        <w:t xml:space="preserve">Javna ustanova Garešnica u iznosu od </w:t>
      </w:r>
      <w:r w:rsidR="00E1302B">
        <w:rPr>
          <w:lang w:eastAsia="hr-HR"/>
        </w:rPr>
        <w:t>68.530,55</w:t>
      </w:r>
      <w:r w:rsidRPr="00413F8F">
        <w:rPr>
          <w:lang w:eastAsia="hr-HR"/>
        </w:rPr>
        <w:t xml:space="preserve"> €,</w:t>
      </w:r>
      <w:r w:rsidRPr="006F59CD">
        <w:rPr>
          <w:lang w:eastAsia="hr-HR"/>
        </w:rPr>
        <w:t xml:space="preserve"> </w:t>
      </w:r>
    </w:p>
    <w:p w14:paraId="6811B1E0" w14:textId="24A62F7D" w:rsidR="00584590" w:rsidRPr="00413F8F" w:rsidRDefault="00584590" w:rsidP="00106F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lang w:eastAsia="hr-HR"/>
        </w:rPr>
      </w:pPr>
      <w:r w:rsidRPr="00413F8F">
        <w:rPr>
          <w:lang w:eastAsia="hr-HR"/>
        </w:rPr>
        <w:t xml:space="preserve">Osnovna škola Garešnica u iznosu od </w:t>
      </w:r>
      <w:r>
        <w:rPr>
          <w:lang w:eastAsia="hr-HR"/>
        </w:rPr>
        <w:t>1.</w:t>
      </w:r>
      <w:r w:rsidR="00E1302B">
        <w:rPr>
          <w:lang w:eastAsia="hr-HR"/>
        </w:rPr>
        <w:t>494.911,43</w:t>
      </w:r>
      <w:r w:rsidRPr="00413F8F">
        <w:rPr>
          <w:lang w:eastAsia="hr-HR"/>
        </w:rPr>
        <w:t xml:space="preserve"> </w:t>
      </w:r>
      <w:r w:rsidR="00E1302B">
        <w:rPr>
          <w:lang w:eastAsia="hr-HR"/>
        </w:rPr>
        <w:t>€</w:t>
      </w:r>
    </w:p>
    <w:p w14:paraId="09E1BBBD" w14:textId="7F1D7DDA" w:rsidR="00584590" w:rsidRPr="00413F8F" w:rsidRDefault="00584590" w:rsidP="00106F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lang w:eastAsia="hr-HR"/>
        </w:rPr>
      </w:pPr>
      <w:r w:rsidRPr="00413F8F">
        <w:rPr>
          <w:lang w:eastAsia="hr-HR"/>
        </w:rPr>
        <w:t xml:space="preserve">Osnovna škola Trnovitički Popovac u iznosu od </w:t>
      </w:r>
      <w:r w:rsidR="00E1302B">
        <w:rPr>
          <w:lang w:eastAsia="hr-HR"/>
        </w:rPr>
        <w:t>369.908,10</w:t>
      </w:r>
      <w:r w:rsidRPr="00413F8F">
        <w:rPr>
          <w:lang w:eastAsia="hr-HR"/>
        </w:rPr>
        <w:t xml:space="preserve"> €</w:t>
      </w:r>
      <w:r w:rsidR="00983A13">
        <w:rPr>
          <w:lang w:eastAsia="hr-HR"/>
        </w:rPr>
        <w:t>.</w:t>
      </w:r>
    </w:p>
    <w:p w14:paraId="6C5F7962" w14:textId="77777777" w:rsidR="00255D73" w:rsidRPr="00255D73" w:rsidRDefault="00255D73" w:rsidP="00255D73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</w:p>
    <w:p w14:paraId="2ED02566" w14:textId="5F71C84A" w:rsidR="00AC62C9" w:rsidRDefault="0010269A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i/>
          <w:iCs/>
          <w:u w:val="single"/>
        </w:rPr>
        <w:lastRenderedPageBreak/>
        <w:t xml:space="preserve">Materijalni </w:t>
      </w:r>
      <w:r w:rsidR="00BD182E" w:rsidRPr="00C1205D">
        <w:rPr>
          <w:rFonts w:asciiTheme="minorHAnsi" w:hAnsiTheme="minorHAnsi" w:cstheme="minorHAnsi"/>
          <w:i/>
          <w:iCs/>
          <w:u w:val="single"/>
        </w:rPr>
        <w:t>rashod</w:t>
      </w:r>
      <w:r w:rsidRPr="00C1205D">
        <w:rPr>
          <w:rFonts w:asciiTheme="minorHAnsi" w:hAnsiTheme="minorHAnsi" w:cstheme="minorHAnsi"/>
          <w:i/>
          <w:iCs/>
          <w:u w:val="single"/>
        </w:rPr>
        <w:t>i</w:t>
      </w:r>
      <w:r w:rsidR="00BD182E" w:rsidRPr="00C1205D">
        <w:rPr>
          <w:rFonts w:asciiTheme="minorHAnsi" w:hAnsiTheme="minorHAnsi" w:cstheme="minorHAnsi"/>
          <w:i/>
          <w:iCs/>
          <w:u w:val="single"/>
        </w:rPr>
        <w:t xml:space="preserve"> poslovanja </w:t>
      </w:r>
      <w:r w:rsidRPr="00C1205D">
        <w:rPr>
          <w:rFonts w:asciiTheme="minorHAnsi" w:hAnsiTheme="minorHAnsi" w:cstheme="minorHAnsi"/>
          <w:i/>
          <w:iCs/>
          <w:u w:val="single"/>
        </w:rPr>
        <w:t>(32)</w:t>
      </w:r>
      <w:r w:rsidRPr="00C1205D">
        <w:rPr>
          <w:rFonts w:asciiTheme="minorHAnsi" w:hAnsiTheme="minorHAnsi" w:cstheme="minorHAnsi"/>
          <w:b/>
          <w:bCs/>
        </w:rPr>
        <w:t xml:space="preserve"> </w:t>
      </w:r>
      <w:r w:rsidR="001528AB" w:rsidRPr="00C1205D">
        <w:rPr>
          <w:rFonts w:asciiTheme="minorHAnsi" w:hAnsiTheme="minorHAnsi" w:cstheme="minorHAnsi"/>
        </w:rPr>
        <w:t xml:space="preserve">iznose </w:t>
      </w:r>
      <w:r w:rsidR="007254E2">
        <w:rPr>
          <w:rFonts w:asciiTheme="minorHAnsi" w:hAnsiTheme="minorHAnsi" w:cstheme="minorHAnsi"/>
        </w:rPr>
        <w:t>1.376.746,90</w:t>
      </w:r>
      <w:r w:rsidR="001528AB" w:rsidRPr="00C1205D">
        <w:rPr>
          <w:rFonts w:asciiTheme="minorHAnsi" w:hAnsiTheme="minorHAnsi" w:cstheme="minorHAnsi"/>
        </w:rPr>
        <w:t xml:space="preserve"> eura i </w:t>
      </w:r>
      <w:r w:rsidRPr="00C1205D">
        <w:rPr>
          <w:rFonts w:asciiTheme="minorHAnsi" w:hAnsiTheme="minorHAnsi" w:cstheme="minorHAnsi"/>
        </w:rPr>
        <w:t xml:space="preserve">bilježe </w:t>
      </w:r>
      <w:r w:rsidR="007254E2">
        <w:rPr>
          <w:rFonts w:asciiTheme="minorHAnsi" w:hAnsiTheme="minorHAnsi" w:cstheme="minorHAnsi"/>
        </w:rPr>
        <w:t>povećanje</w:t>
      </w:r>
      <w:r w:rsidRPr="00C1205D">
        <w:rPr>
          <w:rFonts w:asciiTheme="minorHAnsi" w:hAnsiTheme="minorHAnsi" w:cstheme="minorHAnsi"/>
        </w:rPr>
        <w:t xml:space="preserve"> za </w:t>
      </w:r>
      <w:r w:rsidR="007254E2">
        <w:rPr>
          <w:rFonts w:asciiTheme="minorHAnsi" w:hAnsiTheme="minorHAnsi" w:cstheme="minorHAnsi"/>
        </w:rPr>
        <w:t>8,30</w:t>
      </w:r>
      <w:r w:rsidRPr="00C1205D">
        <w:rPr>
          <w:rFonts w:asciiTheme="minorHAnsi" w:hAnsiTheme="minorHAnsi" w:cstheme="minorHAnsi"/>
        </w:rPr>
        <w:t xml:space="preserve">% i iznose </w:t>
      </w:r>
      <w:r w:rsidR="00AC62C9">
        <w:rPr>
          <w:rFonts w:asciiTheme="minorHAnsi" w:hAnsiTheme="minorHAnsi" w:cstheme="minorHAnsi"/>
        </w:rPr>
        <w:t>4</w:t>
      </w:r>
      <w:r w:rsidR="007254E2">
        <w:rPr>
          <w:rFonts w:asciiTheme="minorHAnsi" w:hAnsiTheme="minorHAnsi" w:cstheme="minorHAnsi"/>
        </w:rPr>
        <w:t>4,99</w:t>
      </w:r>
      <w:r w:rsidRPr="00C1205D">
        <w:rPr>
          <w:rFonts w:asciiTheme="minorHAnsi" w:hAnsiTheme="minorHAnsi" w:cstheme="minorHAnsi"/>
        </w:rPr>
        <w:t xml:space="preserve">% izvršenja proračuna. </w:t>
      </w:r>
    </w:p>
    <w:p w14:paraId="1CBAF17D" w14:textId="212F8197" w:rsidR="00BD182E" w:rsidRPr="00C1205D" w:rsidRDefault="00EE1C9B" w:rsidP="00106FB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Struktura istih rashoda:</w:t>
      </w:r>
    </w:p>
    <w:p w14:paraId="05F6B003" w14:textId="7627D8F7" w:rsidR="00BD182E" w:rsidRDefault="00BD182E" w:rsidP="00106FBB">
      <w:pPr>
        <w:pStyle w:val="Odlomakpopisa"/>
        <w:widowControl w:val="0"/>
        <w:numPr>
          <w:ilvl w:val="0"/>
          <w:numId w:val="34"/>
        </w:numPr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62C9">
        <w:rPr>
          <w:rFonts w:asciiTheme="minorHAnsi" w:hAnsiTheme="minorHAnsi" w:cstheme="minorHAnsi"/>
          <w:sz w:val="22"/>
          <w:szCs w:val="22"/>
          <w:lang w:eastAsia="en-US"/>
        </w:rPr>
        <w:t>Naknade troškova zaposlenima</w:t>
      </w:r>
      <w:r w:rsidR="00AC62C9">
        <w:rPr>
          <w:rFonts w:asciiTheme="minorHAnsi" w:hAnsiTheme="minorHAnsi" w:cstheme="minorHAnsi"/>
          <w:sz w:val="22"/>
          <w:szCs w:val="22"/>
          <w:lang w:eastAsia="en-US"/>
        </w:rPr>
        <w:t xml:space="preserve"> (321)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povećan</w:t>
      </w:r>
      <w:r w:rsidR="00465381" w:rsidRPr="00AC62C9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su</w:t>
      </w:r>
      <w:r w:rsidR="00465381"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za</w:t>
      </w:r>
      <w:r w:rsidR="001528AB"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254E2">
        <w:rPr>
          <w:rFonts w:asciiTheme="minorHAnsi" w:hAnsiTheme="minorHAnsi" w:cstheme="minorHAnsi"/>
          <w:sz w:val="22"/>
          <w:szCs w:val="22"/>
          <w:lang w:eastAsia="en-US"/>
        </w:rPr>
        <w:t>13,58</w:t>
      </w:r>
      <w:r w:rsidR="00465381" w:rsidRPr="00AC62C9">
        <w:rPr>
          <w:rFonts w:asciiTheme="minorHAnsi" w:hAnsiTheme="minorHAnsi" w:cstheme="minorHAnsi"/>
          <w:sz w:val="22"/>
          <w:szCs w:val="22"/>
          <w:lang w:eastAsia="en-US"/>
        </w:rPr>
        <w:t>%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zbog </w:t>
      </w:r>
      <w:r w:rsidR="00584590" w:rsidRPr="00AC62C9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="00AC62C9" w:rsidRPr="00AC62C9">
        <w:rPr>
          <w:rFonts w:asciiTheme="minorHAnsi" w:hAnsiTheme="minorHAnsi" w:cstheme="minorHAnsi"/>
          <w:sz w:val="22"/>
          <w:szCs w:val="22"/>
          <w:lang w:eastAsia="en-US"/>
        </w:rPr>
        <w:t>ovećanja</w:t>
      </w:r>
      <w:r w:rsidR="00584590"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troškova stručnog usavršavanja zaposlenika (3213) i ostalih naknada za zaposlene (3214 - troškovi korištenja vlastitog automobila u službene svrhe u projektu „Nikad nije kasno – faza IV“)</w:t>
      </w:r>
    </w:p>
    <w:p w14:paraId="11BEEDC2" w14:textId="77777777" w:rsidR="003F3346" w:rsidRPr="003F3346" w:rsidRDefault="003F3346" w:rsidP="003F3346">
      <w:pPr>
        <w:pStyle w:val="Odlomakpopisa"/>
        <w:widowControl w:val="0"/>
        <w:autoSpaceDN w:val="0"/>
        <w:adjustRightInd w:val="0"/>
        <w:ind w:left="0"/>
        <w:jc w:val="both"/>
        <w:rPr>
          <w:rFonts w:asciiTheme="minorHAnsi" w:hAnsiTheme="minorHAnsi" w:cstheme="minorHAnsi"/>
          <w:sz w:val="10"/>
          <w:szCs w:val="10"/>
          <w:lang w:eastAsia="en-US"/>
        </w:rPr>
      </w:pPr>
    </w:p>
    <w:p w14:paraId="39D8D25F" w14:textId="49A422EC" w:rsidR="00AC62C9" w:rsidRPr="00EE1C9B" w:rsidRDefault="00AC62C9" w:rsidP="00106FBB">
      <w:pPr>
        <w:pStyle w:val="Odlomakpopisa"/>
        <w:widowControl w:val="0"/>
        <w:numPr>
          <w:ilvl w:val="0"/>
          <w:numId w:val="34"/>
        </w:numPr>
        <w:autoSpaceDN w:val="0"/>
        <w:adjustRightInd w:val="0"/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62C9">
        <w:rPr>
          <w:rFonts w:asciiTheme="minorHAnsi" w:hAnsiTheme="minorHAnsi" w:cstheme="minorHAnsi"/>
          <w:sz w:val="22"/>
          <w:szCs w:val="22"/>
          <w:lang w:eastAsia="en-US"/>
        </w:rPr>
        <w:t>Rashodi za materijal i  energiju</w:t>
      </w:r>
      <w:r w:rsidR="00EE1C9B">
        <w:rPr>
          <w:rFonts w:asciiTheme="minorHAnsi" w:hAnsiTheme="minorHAnsi" w:cstheme="minorHAnsi"/>
          <w:sz w:val="22"/>
          <w:szCs w:val="22"/>
          <w:lang w:eastAsia="en-US"/>
        </w:rPr>
        <w:t xml:space="preserve"> (322)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 ukupno su povećani za </w:t>
      </w:r>
      <w:r w:rsidR="007254E2">
        <w:rPr>
          <w:rFonts w:asciiTheme="minorHAnsi" w:hAnsiTheme="minorHAnsi" w:cstheme="minorHAnsi"/>
          <w:sz w:val="22"/>
          <w:szCs w:val="22"/>
          <w:lang w:eastAsia="en-US"/>
        </w:rPr>
        <w:t>9,01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>% a najveće povećanje odnosi se na troškove</w:t>
      </w:r>
      <w:r w:rsidR="000370D6">
        <w:rPr>
          <w:rFonts w:asciiTheme="minorHAnsi" w:hAnsiTheme="minorHAnsi" w:cstheme="minorHAnsi"/>
          <w:sz w:val="22"/>
          <w:szCs w:val="22"/>
          <w:lang w:eastAsia="en-US"/>
        </w:rPr>
        <w:t xml:space="preserve"> uredskog materijala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0370D6">
        <w:rPr>
          <w:rFonts w:asciiTheme="minorHAnsi" w:hAnsiTheme="minorHAnsi" w:cstheme="minorHAnsi"/>
          <w:sz w:val="22"/>
          <w:szCs w:val="22"/>
          <w:lang w:eastAsia="en-US"/>
        </w:rPr>
        <w:t>energije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>, te služben</w:t>
      </w:r>
      <w:r w:rsidR="00983A13">
        <w:rPr>
          <w:rFonts w:asciiTheme="minorHAnsi" w:hAnsiTheme="minorHAnsi" w:cstheme="minorHAnsi"/>
          <w:sz w:val="22"/>
          <w:szCs w:val="22"/>
          <w:lang w:eastAsia="en-US"/>
        </w:rPr>
        <w:t>e,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radn</w:t>
      </w:r>
      <w:r w:rsidR="00983A13">
        <w:rPr>
          <w:rFonts w:asciiTheme="minorHAnsi" w:hAnsiTheme="minorHAnsi" w:cstheme="minorHAnsi"/>
          <w:sz w:val="22"/>
          <w:szCs w:val="22"/>
          <w:lang w:eastAsia="en-US"/>
        </w:rPr>
        <w:t>e i zaštitne odjeće i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obuć</w:t>
      </w:r>
      <w:r w:rsidR="00983A1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AC62C9">
        <w:rPr>
          <w:rFonts w:asciiTheme="minorHAnsi" w:hAnsiTheme="minorHAnsi" w:cstheme="minorHAnsi"/>
          <w:sz w:val="22"/>
          <w:szCs w:val="22"/>
          <w:lang w:eastAsia="en-US"/>
        </w:rPr>
        <w:t xml:space="preserve"> (3227).</w:t>
      </w:r>
    </w:p>
    <w:p w14:paraId="286D5B5F" w14:textId="3776EC72" w:rsidR="000370D6" w:rsidRDefault="00EE1C9B" w:rsidP="000370D6">
      <w:pPr>
        <w:spacing w:line="240" w:lineRule="auto"/>
        <w:jc w:val="both"/>
      </w:pPr>
      <w:r w:rsidRPr="00EE1C9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Rashodi za usluge (323) </w:t>
      </w:r>
      <w:r w:rsidR="000370D6">
        <w:rPr>
          <w:rFonts w:asciiTheme="minorHAnsi" w:hAnsiTheme="minorHAnsi" w:cstheme="minorHAnsi"/>
        </w:rPr>
        <w:t>povećani</w:t>
      </w:r>
      <w:r>
        <w:rPr>
          <w:rFonts w:asciiTheme="minorHAnsi" w:hAnsiTheme="minorHAnsi" w:cstheme="minorHAnsi"/>
        </w:rPr>
        <w:t xml:space="preserve"> su za </w:t>
      </w:r>
      <w:r w:rsidR="000370D6">
        <w:rPr>
          <w:rFonts w:asciiTheme="minorHAnsi" w:hAnsiTheme="minorHAnsi" w:cstheme="minorHAnsi"/>
        </w:rPr>
        <w:t>6,60</w:t>
      </w:r>
      <w:r>
        <w:rPr>
          <w:rFonts w:asciiTheme="minorHAnsi" w:hAnsiTheme="minorHAnsi" w:cstheme="minorHAnsi"/>
        </w:rPr>
        <w:t>%,</w:t>
      </w:r>
      <w:r w:rsidRPr="00EE1C9B">
        <w:rPr>
          <w:bCs/>
          <w:iCs/>
          <w:lang w:eastAsia="hr-HR"/>
        </w:rPr>
        <w:t xml:space="preserve"> </w:t>
      </w:r>
      <w:r w:rsidR="000370D6">
        <w:rPr>
          <w:bCs/>
          <w:iCs/>
          <w:lang w:eastAsia="hr-HR"/>
        </w:rPr>
        <w:t xml:space="preserve">a najveće povećanje bilježe </w:t>
      </w:r>
      <w:r w:rsidR="000370D6">
        <w:t>troškovi zakupnine i najamnine za  opremu koju nismo imali u prošloj godini: najam  uređaja za ispis/fotokopiranje/ skeniranje, korištenje poslužitelja i najam servera, najam uređaja za saniranje kapilarne vlage, te zdravstvene usluge i troškovi sudskih postupaka.</w:t>
      </w:r>
    </w:p>
    <w:p w14:paraId="2BF605FB" w14:textId="06571B50" w:rsidR="00EE1C9B" w:rsidRDefault="00EE1C9B" w:rsidP="00106FBB">
      <w:pPr>
        <w:widowControl w:val="0"/>
        <w:autoSpaceDN w:val="0"/>
        <w:adjustRightInd w:val="0"/>
        <w:spacing w:after="120" w:line="240" w:lineRule="auto"/>
        <w:contextualSpacing/>
        <w:jc w:val="both"/>
        <w:rPr>
          <w:bCs/>
          <w:iCs/>
          <w:lang w:eastAsia="hr-HR"/>
        </w:rPr>
      </w:pPr>
    </w:p>
    <w:p w14:paraId="532AD674" w14:textId="3B40A913" w:rsidR="00A62C90" w:rsidRPr="007F14AE" w:rsidRDefault="00A62C90" w:rsidP="007F14AE">
      <w:pPr>
        <w:spacing w:line="240" w:lineRule="auto"/>
        <w:jc w:val="both"/>
      </w:pPr>
      <w:r w:rsidRPr="00C1205D">
        <w:rPr>
          <w:rFonts w:asciiTheme="minorHAnsi" w:hAnsiTheme="minorHAnsi" w:cstheme="minorHAnsi"/>
          <w:i/>
          <w:iCs/>
          <w:u w:val="single"/>
          <w:lang w:eastAsia="hr-HR"/>
        </w:rPr>
        <w:t>Financijski rashodi (34)</w:t>
      </w:r>
      <w:r w:rsidRPr="00C1205D">
        <w:rPr>
          <w:rFonts w:asciiTheme="minorHAnsi" w:hAnsiTheme="minorHAnsi" w:cstheme="minorHAnsi"/>
          <w:lang w:eastAsia="hr-HR"/>
        </w:rPr>
        <w:t xml:space="preserve"> </w:t>
      </w:r>
      <w:r w:rsidR="000370D6">
        <w:rPr>
          <w:rFonts w:asciiTheme="minorHAnsi" w:hAnsiTheme="minorHAnsi" w:cstheme="minorHAnsi"/>
          <w:lang w:eastAsia="hr-HR"/>
        </w:rPr>
        <w:t>povećani</w:t>
      </w:r>
      <w:r w:rsidRPr="00C1205D">
        <w:rPr>
          <w:rFonts w:asciiTheme="minorHAnsi" w:hAnsiTheme="minorHAnsi" w:cstheme="minorHAnsi"/>
          <w:lang w:eastAsia="hr-HR"/>
        </w:rPr>
        <w:t xml:space="preserve"> su za </w:t>
      </w:r>
      <w:r w:rsidR="000370D6">
        <w:rPr>
          <w:rFonts w:asciiTheme="minorHAnsi" w:hAnsiTheme="minorHAnsi" w:cstheme="minorHAnsi"/>
          <w:lang w:eastAsia="hr-HR"/>
        </w:rPr>
        <w:t>218,08</w:t>
      </w:r>
      <w:r w:rsidRPr="00C1205D">
        <w:rPr>
          <w:rFonts w:asciiTheme="minorHAnsi" w:hAnsiTheme="minorHAnsi" w:cstheme="minorHAnsi"/>
          <w:lang w:eastAsia="hr-HR"/>
        </w:rPr>
        <w:t xml:space="preserve">% </w:t>
      </w:r>
      <w:r w:rsidR="007F14AE">
        <w:t xml:space="preserve">temeljem obračunatih </w:t>
      </w:r>
      <w:proofErr w:type="spellStart"/>
      <w:r w:rsidR="007F14AE">
        <w:t>interkalarnih</w:t>
      </w:r>
      <w:proofErr w:type="spellEnd"/>
      <w:r w:rsidR="007F14AE">
        <w:t xml:space="preserve"> kamata na korištena sredstva dugoročnog kredita  sukladno Ugovoru o dugoročnom zaduživanju za kapitalne projekte  broj: 5002512364 sa Erste &amp; Steiermaerkische Bank d.d., te n</w:t>
      </w:r>
      <w:r w:rsidR="007F14AE" w:rsidRPr="007F14AE">
        <w:t>aknad</w:t>
      </w:r>
      <w:r w:rsidR="007F14AE">
        <w:t>e</w:t>
      </w:r>
      <w:r w:rsidR="007F14AE" w:rsidRPr="007F14AE">
        <w:t xml:space="preserve"> za obavljanje usluge odobravanja kredita broj 5002591954</w:t>
      </w:r>
      <w:r w:rsidR="007F14AE">
        <w:t xml:space="preserve"> sa Erste &amp; Steiermaerkische Bank d.d.</w:t>
      </w:r>
      <w:r w:rsidR="007F14AE" w:rsidRPr="007F14AE">
        <w:t xml:space="preserve"> od 17.6.2025. godine</w:t>
      </w:r>
      <w:r w:rsidR="007F14AE">
        <w:t>.</w:t>
      </w:r>
    </w:p>
    <w:p w14:paraId="6C53E7F3" w14:textId="00C98614" w:rsidR="00DD7B2C" w:rsidRDefault="00A62C90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bCs/>
          <w:iCs/>
          <w:lang w:eastAsia="hr-HR"/>
        </w:rPr>
      </w:pPr>
      <w:r w:rsidRPr="00DD7B2C">
        <w:rPr>
          <w:rFonts w:asciiTheme="minorHAnsi" w:hAnsiTheme="minorHAnsi" w:cstheme="minorHAnsi"/>
          <w:i/>
          <w:iCs/>
          <w:u w:val="single"/>
          <w:lang w:eastAsia="hr-HR"/>
        </w:rPr>
        <w:t>Subvencije</w:t>
      </w:r>
      <w:r w:rsidR="00843A43" w:rsidRPr="00DD7B2C">
        <w:rPr>
          <w:rFonts w:asciiTheme="minorHAnsi" w:hAnsiTheme="minorHAnsi" w:cstheme="minorHAnsi"/>
          <w:i/>
          <w:iCs/>
          <w:u w:val="single"/>
          <w:lang w:eastAsia="hr-HR"/>
        </w:rPr>
        <w:t xml:space="preserve"> trgovačkim društvima, poljoprivrednicima i obrtnicima</w:t>
      </w:r>
      <w:r w:rsidRPr="00DD7B2C">
        <w:rPr>
          <w:rFonts w:asciiTheme="minorHAnsi" w:hAnsiTheme="minorHAnsi" w:cstheme="minorHAnsi"/>
          <w:i/>
          <w:iCs/>
          <w:u w:val="single"/>
          <w:lang w:eastAsia="hr-HR"/>
        </w:rPr>
        <w:t xml:space="preserve"> (3</w:t>
      </w:r>
      <w:r w:rsidR="00DB14D1" w:rsidRPr="00DD7B2C">
        <w:rPr>
          <w:rFonts w:asciiTheme="minorHAnsi" w:hAnsiTheme="minorHAnsi" w:cstheme="minorHAnsi"/>
          <w:i/>
          <w:iCs/>
          <w:u w:val="single"/>
          <w:lang w:eastAsia="hr-HR"/>
        </w:rPr>
        <w:t>5</w:t>
      </w:r>
      <w:r w:rsidRPr="00C1205D">
        <w:rPr>
          <w:rFonts w:asciiTheme="minorHAnsi" w:hAnsiTheme="minorHAnsi" w:cstheme="minorHAnsi"/>
          <w:u w:val="single"/>
          <w:lang w:eastAsia="hr-HR"/>
        </w:rPr>
        <w:t>)</w:t>
      </w:r>
      <w:r w:rsidR="00843A43" w:rsidRPr="00C1205D">
        <w:rPr>
          <w:rFonts w:asciiTheme="minorHAnsi" w:hAnsiTheme="minorHAnsi" w:cstheme="minorHAnsi"/>
          <w:lang w:eastAsia="hr-HR"/>
        </w:rPr>
        <w:t xml:space="preserve"> </w:t>
      </w:r>
      <w:r w:rsidR="007F14AE">
        <w:rPr>
          <w:rFonts w:asciiTheme="minorHAnsi" w:hAnsiTheme="minorHAnsi" w:cstheme="minorHAnsi"/>
          <w:lang w:eastAsia="hr-HR"/>
        </w:rPr>
        <w:t>smanjene</w:t>
      </w:r>
      <w:r w:rsidR="00843A43" w:rsidRPr="00C1205D">
        <w:rPr>
          <w:rFonts w:asciiTheme="minorHAnsi" w:hAnsiTheme="minorHAnsi" w:cstheme="minorHAnsi"/>
          <w:lang w:eastAsia="hr-HR"/>
        </w:rPr>
        <w:t xml:space="preserve"> su za </w:t>
      </w:r>
      <w:r w:rsidR="007F14AE">
        <w:rPr>
          <w:rFonts w:asciiTheme="minorHAnsi" w:hAnsiTheme="minorHAnsi" w:cstheme="minorHAnsi"/>
          <w:lang w:eastAsia="hr-HR"/>
        </w:rPr>
        <w:t>84,3</w:t>
      </w:r>
      <w:r w:rsidR="00983A13">
        <w:rPr>
          <w:rFonts w:asciiTheme="minorHAnsi" w:hAnsiTheme="minorHAnsi" w:cstheme="minorHAnsi"/>
          <w:lang w:eastAsia="hr-HR"/>
        </w:rPr>
        <w:t>3</w:t>
      </w:r>
      <w:r w:rsidR="000C6A46">
        <w:rPr>
          <w:rFonts w:asciiTheme="minorHAnsi" w:hAnsiTheme="minorHAnsi" w:cstheme="minorHAnsi"/>
          <w:lang w:eastAsia="hr-HR"/>
        </w:rPr>
        <w:t>%</w:t>
      </w:r>
      <w:r w:rsidR="00843A43" w:rsidRPr="00C1205D">
        <w:rPr>
          <w:rFonts w:asciiTheme="minorHAnsi" w:hAnsiTheme="minorHAnsi" w:cstheme="minorHAnsi"/>
          <w:lang w:eastAsia="hr-HR"/>
        </w:rPr>
        <w:t xml:space="preserve"> u odnosu na prošlu godinu. </w:t>
      </w:r>
      <w:r w:rsidR="007F14AE">
        <w:rPr>
          <w:rFonts w:asciiTheme="minorHAnsi" w:hAnsiTheme="minorHAnsi" w:cstheme="minorHAnsi"/>
          <w:lang w:eastAsia="hr-HR"/>
        </w:rPr>
        <w:t xml:space="preserve">Evidentirano je veliko smanjenje </w:t>
      </w:r>
      <w:r w:rsidRPr="00C1205D">
        <w:rPr>
          <w:rFonts w:asciiTheme="minorHAnsi" w:hAnsiTheme="minorHAnsi" w:cstheme="minorHAnsi"/>
          <w:lang w:eastAsia="hr-HR"/>
        </w:rPr>
        <w:t>iz razloga</w:t>
      </w:r>
      <w:r w:rsidR="007F14AE">
        <w:rPr>
          <w:rFonts w:asciiTheme="minorHAnsi" w:hAnsiTheme="minorHAnsi" w:cstheme="minorHAnsi"/>
          <w:lang w:eastAsia="hr-HR"/>
        </w:rPr>
        <w:t xml:space="preserve"> što smo u istom razdoblju prošle godine sklopili</w:t>
      </w:r>
      <w:r w:rsidRPr="00C1205D">
        <w:rPr>
          <w:rFonts w:asciiTheme="minorHAnsi" w:hAnsiTheme="minorHAnsi" w:cstheme="minorHAnsi"/>
          <w:lang w:eastAsia="hr-HR"/>
        </w:rPr>
        <w:t xml:space="preserve"> </w:t>
      </w:r>
      <w:r w:rsidR="000C6A46" w:rsidRPr="00157A05">
        <w:rPr>
          <w:bCs/>
          <w:iCs/>
          <w:lang w:eastAsia="hr-HR"/>
        </w:rPr>
        <w:t xml:space="preserve">Ugovor o dodjeli potpore, </w:t>
      </w:r>
      <w:proofErr w:type="spellStart"/>
      <w:r w:rsidR="000C6A46" w:rsidRPr="00157A05">
        <w:rPr>
          <w:bCs/>
          <w:iCs/>
          <w:lang w:eastAsia="hr-HR"/>
        </w:rPr>
        <w:t>Ref.br.Ugovora</w:t>
      </w:r>
      <w:proofErr w:type="spellEnd"/>
      <w:r w:rsidR="000C6A46" w:rsidRPr="00157A05">
        <w:rPr>
          <w:bCs/>
          <w:iCs/>
          <w:lang w:eastAsia="hr-HR"/>
        </w:rPr>
        <w:t xml:space="preserve"> PPO-PZK-2023/2 za kupnju zemljišta u Poduzetničkoj zoni Kapelica</w:t>
      </w:r>
      <w:r w:rsidR="007F14AE">
        <w:rPr>
          <w:bCs/>
          <w:iCs/>
          <w:lang w:eastAsia="hr-HR"/>
        </w:rPr>
        <w:t>, a</w:t>
      </w:r>
      <w:r w:rsidR="000C6A46" w:rsidRPr="00157A05">
        <w:rPr>
          <w:bCs/>
          <w:iCs/>
          <w:lang w:eastAsia="hr-HR"/>
        </w:rPr>
        <w:t xml:space="preserve"> </w:t>
      </w:r>
      <w:r w:rsidR="007F14AE">
        <w:rPr>
          <w:bCs/>
          <w:iCs/>
          <w:lang w:eastAsia="hr-HR"/>
        </w:rPr>
        <w:t>i</w:t>
      </w:r>
      <w:r w:rsidR="000C6A46" w:rsidRPr="00157A05">
        <w:rPr>
          <w:bCs/>
          <w:iCs/>
          <w:lang w:eastAsia="hr-HR"/>
        </w:rPr>
        <w:t>sta potpora iznos</w:t>
      </w:r>
      <w:r w:rsidR="007F14AE">
        <w:rPr>
          <w:bCs/>
          <w:iCs/>
          <w:lang w:eastAsia="hr-HR"/>
        </w:rPr>
        <w:t>ila je</w:t>
      </w:r>
      <w:r w:rsidR="000C6A46" w:rsidRPr="00157A05">
        <w:rPr>
          <w:bCs/>
          <w:iCs/>
          <w:lang w:eastAsia="hr-HR"/>
        </w:rPr>
        <w:t xml:space="preserve"> 44.117,92 €.</w:t>
      </w:r>
    </w:p>
    <w:p w14:paraId="2E8D99BA" w14:textId="77777777" w:rsidR="00DD7B2C" w:rsidRDefault="00DD7B2C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bCs/>
          <w:iCs/>
          <w:lang w:eastAsia="hr-HR"/>
        </w:rPr>
      </w:pPr>
    </w:p>
    <w:p w14:paraId="73DFD50C" w14:textId="43187A4F" w:rsidR="00843A43" w:rsidRPr="00C1205D" w:rsidRDefault="00843A43" w:rsidP="00106FBB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C1205D">
        <w:rPr>
          <w:rFonts w:asciiTheme="minorHAnsi" w:hAnsiTheme="minorHAnsi" w:cstheme="minorHAnsi"/>
          <w:i/>
          <w:iCs/>
          <w:u w:val="single"/>
        </w:rPr>
        <w:t>P</w:t>
      </w:r>
      <w:r w:rsidRPr="00C1205D">
        <w:rPr>
          <w:rFonts w:asciiTheme="minorHAnsi" w:hAnsiTheme="minorHAnsi" w:cstheme="minorHAnsi"/>
          <w:i/>
          <w:iCs/>
          <w:u w:val="single"/>
          <w:lang w:eastAsia="hr-HR"/>
        </w:rPr>
        <w:t>omoći dane u inozemstvo i unutar opće države (36)</w:t>
      </w:r>
      <w:r w:rsidRPr="00C1205D">
        <w:rPr>
          <w:rFonts w:asciiTheme="minorHAnsi" w:hAnsiTheme="minorHAnsi" w:cstheme="minorHAnsi"/>
          <w:lang w:eastAsia="hr-HR"/>
        </w:rPr>
        <w:t xml:space="preserve"> predstavljaju</w:t>
      </w:r>
      <w:r w:rsidR="00983A13">
        <w:rPr>
          <w:rFonts w:asciiTheme="minorHAnsi" w:hAnsiTheme="minorHAnsi" w:cstheme="minorHAnsi"/>
          <w:lang w:eastAsia="hr-HR"/>
        </w:rPr>
        <w:t xml:space="preserve"> </w:t>
      </w:r>
      <w:r w:rsidRPr="00C1205D">
        <w:rPr>
          <w:rFonts w:asciiTheme="minorHAnsi" w:hAnsiTheme="minorHAnsi" w:cstheme="minorHAnsi"/>
          <w:lang w:eastAsia="hr-HR"/>
        </w:rPr>
        <w:t xml:space="preserve">pomoći Ministarstvu gospodarstva i održivog razvoja za sufinanciranje premija osiguranja za vatrogasnu cisternu koja nam je dana na korištenje u iznosu od </w:t>
      </w:r>
      <w:r w:rsidR="000C6A46" w:rsidRPr="000C6A46">
        <w:rPr>
          <w:rFonts w:asciiTheme="minorHAnsi" w:hAnsiTheme="minorHAnsi" w:cstheme="minorHAnsi"/>
          <w:lang w:eastAsia="hr-HR"/>
        </w:rPr>
        <w:t>1.816,88</w:t>
      </w:r>
      <w:r w:rsidRPr="00C1205D">
        <w:rPr>
          <w:rFonts w:asciiTheme="minorHAnsi" w:hAnsiTheme="minorHAnsi" w:cstheme="minorHAnsi"/>
          <w:lang w:eastAsia="hr-HR"/>
        </w:rPr>
        <w:t xml:space="preserve"> eura</w:t>
      </w:r>
      <w:r w:rsidR="000C6A46">
        <w:rPr>
          <w:rFonts w:asciiTheme="minorHAnsi" w:hAnsiTheme="minorHAnsi" w:cstheme="minorHAnsi"/>
          <w:lang w:eastAsia="hr-HR"/>
        </w:rPr>
        <w:t>.</w:t>
      </w:r>
    </w:p>
    <w:p w14:paraId="64760D53" w14:textId="77777777" w:rsidR="00843A43" w:rsidRPr="00C1205D" w:rsidRDefault="00843A43" w:rsidP="00106FBB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14:paraId="61F629A2" w14:textId="244DCEC9" w:rsidR="000C6A46" w:rsidRPr="00900CB5" w:rsidRDefault="00A35083" w:rsidP="00900CB5">
      <w:pPr>
        <w:spacing w:line="240" w:lineRule="auto"/>
        <w:jc w:val="both"/>
      </w:pPr>
      <w:r w:rsidRPr="00C1205D">
        <w:rPr>
          <w:rFonts w:asciiTheme="minorHAnsi" w:hAnsiTheme="minorHAnsi" w:cstheme="minorHAnsi"/>
          <w:bCs/>
          <w:i/>
          <w:u w:val="single"/>
          <w:lang w:eastAsia="hr-HR"/>
        </w:rPr>
        <w:t>N</w:t>
      </w:r>
      <w:r w:rsidRPr="00C1205D">
        <w:rPr>
          <w:rFonts w:asciiTheme="minorHAnsi" w:hAnsiTheme="minorHAnsi" w:cstheme="minorHAnsi"/>
          <w:i/>
          <w:u w:val="single"/>
          <w:lang w:eastAsia="hr-HR"/>
        </w:rPr>
        <w:t>aknade građanima i kućanstvima (37)</w:t>
      </w:r>
      <w:r w:rsidRPr="00C1205D">
        <w:rPr>
          <w:rFonts w:asciiTheme="minorHAnsi" w:hAnsiTheme="minorHAnsi" w:cstheme="minorHAnsi"/>
          <w:lang w:eastAsia="hr-HR"/>
        </w:rPr>
        <w:t xml:space="preserve"> </w:t>
      </w:r>
      <w:r w:rsidR="00983A13">
        <w:rPr>
          <w:rFonts w:asciiTheme="minorHAnsi" w:hAnsiTheme="minorHAnsi" w:cstheme="minorHAnsi"/>
          <w:lang w:eastAsia="hr-HR"/>
        </w:rPr>
        <w:t xml:space="preserve">iznose 242.489,68 € i </w:t>
      </w:r>
      <w:r w:rsidRPr="00C1205D">
        <w:rPr>
          <w:rFonts w:asciiTheme="minorHAnsi" w:hAnsiTheme="minorHAnsi" w:cstheme="minorHAnsi"/>
          <w:lang w:eastAsia="hr-HR"/>
        </w:rPr>
        <w:t xml:space="preserve">ukupno su povećane za </w:t>
      </w:r>
      <w:r w:rsidR="00900CB5">
        <w:rPr>
          <w:rFonts w:asciiTheme="minorHAnsi" w:hAnsiTheme="minorHAnsi" w:cstheme="minorHAnsi"/>
          <w:lang w:eastAsia="hr-HR"/>
        </w:rPr>
        <w:t>13,29%</w:t>
      </w:r>
      <w:r w:rsidR="00900CB5" w:rsidRPr="00900CB5">
        <w:t xml:space="preserve"> </w:t>
      </w:r>
      <w:r w:rsidR="00900CB5">
        <w:t>iz razloga povećanja troškova subvencije prijevoza  za učenik</w:t>
      </w:r>
      <w:r w:rsidR="00983A13">
        <w:t>e</w:t>
      </w:r>
      <w:r w:rsidR="00900CB5">
        <w:t xml:space="preserve"> osnovnih škola.</w:t>
      </w:r>
    </w:p>
    <w:p w14:paraId="27B2CD84" w14:textId="6F93AEB8" w:rsidR="00A35083" w:rsidRDefault="00900CB5" w:rsidP="00106FBB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i/>
          <w:iCs/>
          <w:u w:val="single"/>
          <w:lang w:eastAsia="hr-HR"/>
        </w:rPr>
        <w:t>Rashodi za donacije, kazne, naknade šteta i kapitalne pomoći</w:t>
      </w:r>
      <w:r w:rsidR="00A35083" w:rsidRPr="00C1205D">
        <w:rPr>
          <w:rFonts w:asciiTheme="minorHAnsi" w:hAnsiTheme="minorHAnsi" w:cstheme="minorHAnsi"/>
          <w:i/>
          <w:iCs/>
          <w:u w:val="single"/>
          <w:lang w:eastAsia="hr-HR"/>
        </w:rPr>
        <w:t xml:space="preserve"> (38</w:t>
      </w:r>
      <w:r w:rsidR="00A35083" w:rsidRPr="00C1205D">
        <w:rPr>
          <w:rFonts w:asciiTheme="minorHAnsi" w:hAnsiTheme="minorHAnsi" w:cstheme="minorHAnsi"/>
          <w:i/>
          <w:iCs/>
          <w:lang w:eastAsia="hr-HR"/>
        </w:rPr>
        <w:t xml:space="preserve">) </w:t>
      </w:r>
      <w:r w:rsidR="00A35083" w:rsidRPr="00C1205D">
        <w:rPr>
          <w:rFonts w:asciiTheme="minorHAnsi" w:hAnsiTheme="minorHAnsi" w:cstheme="minorHAnsi"/>
          <w:lang w:eastAsia="hr-HR"/>
        </w:rPr>
        <w:t xml:space="preserve">iznose </w:t>
      </w:r>
      <w:r>
        <w:rPr>
          <w:rFonts w:asciiTheme="minorHAnsi" w:hAnsiTheme="minorHAnsi" w:cstheme="minorHAnsi"/>
          <w:lang w:eastAsia="hr-HR"/>
        </w:rPr>
        <w:t>4</w:t>
      </w:r>
      <w:r w:rsidR="00551479">
        <w:rPr>
          <w:rFonts w:asciiTheme="minorHAnsi" w:hAnsiTheme="minorHAnsi" w:cstheme="minorHAnsi"/>
          <w:lang w:eastAsia="hr-HR"/>
        </w:rPr>
        <w:t>53.926,95</w:t>
      </w:r>
      <w:r w:rsidR="00A35083" w:rsidRPr="00C1205D">
        <w:rPr>
          <w:rFonts w:asciiTheme="minorHAnsi" w:hAnsiTheme="minorHAnsi" w:cstheme="minorHAnsi"/>
          <w:lang w:eastAsia="hr-HR"/>
        </w:rPr>
        <w:t xml:space="preserve"> eura i </w:t>
      </w:r>
      <w:r>
        <w:rPr>
          <w:rFonts w:asciiTheme="minorHAnsi" w:hAnsiTheme="minorHAnsi" w:cstheme="minorHAnsi"/>
          <w:lang w:eastAsia="hr-HR"/>
        </w:rPr>
        <w:t>povećani su</w:t>
      </w:r>
      <w:r w:rsidR="00A35083" w:rsidRPr="00C1205D">
        <w:rPr>
          <w:rFonts w:asciiTheme="minorHAnsi" w:hAnsiTheme="minorHAnsi" w:cstheme="minorHAnsi"/>
          <w:lang w:eastAsia="hr-HR"/>
        </w:rPr>
        <w:t xml:space="preserve"> za</w:t>
      </w:r>
      <w:r>
        <w:rPr>
          <w:rFonts w:asciiTheme="minorHAnsi" w:hAnsiTheme="minorHAnsi" w:cstheme="minorHAnsi"/>
          <w:lang w:eastAsia="hr-HR"/>
        </w:rPr>
        <w:t xml:space="preserve"> 175,65</w:t>
      </w:r>
      <w:r w:rsidR="00A35083" w:rsidRPr="00C1205D">
        <w:rPr>
          <w:rFonts w:asciiTheme="minorHAnsi" w:hAnsiTheme="minorHAnsi" w:cstheme="minorHAnsi"/>
          <w:lang w:eastAsia="hr-HR"/>
        </w:rPr>
        <w:t>% u odnosu na prošlu godinu</w:t>
      </w:r>
      <w:r>
        <w:rPr>
          <w:rFonts w:asciiTheme="minorHAnsi" w:hAnsiTheme="minorHAnsi" w:cstheme="minorHAnsi"/>
          <w:lang w:eastAsia="hr-HR"/>
        </w:rPr>
        <w:t xml:space="preserve"> i sastoje se od:</w:t>
      </w:r>
    </w:p>
    <w:p w14:paraId="25CF2CB1" w14:textId="77777777" w:rsidR="00900CB5" w:rsidRPr="00C1205D" w:rsidRDefault="00900CB5" w:rsidP="00106FBB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14:paraId="4EAA9477" w14:textId="3B3F8763" w:rsidR="00A3459B" w:rsidRPr="00900CB5" w:rsidRDefault="00A35083" w:rsidP="00900CB5">
      <w:pPr>
        <w:spacing w:line="240" w:lineRule="auto"/>
        <w:jc w:val="both"/>
      </w:pPr>
      <w:r w:rsidRPr="00C1205D">
        <w:rPr>
          <w:rFonts w:asciiTheme="minorHAnsi" w:hAnsiTheme="minorHAnsi" w:cstheme="minorHAnsi"/>
          <w:lang w:eastAsia="hr-HR"/>
        </w:rPr>
        <w:t>-</w:t>
      </w:r>
      <w:r w:rsidRPr="00C1205D">
        <w:rPr>
          <w:rFonts w:asciiTheme="minorHAnsi" w:hAnsiTheme="minorHAnsi" w:cstheme="minorHAnsi"/>
        </w:rPr>
        <w:t xml:space="preserve"> </w:t>
      </w:r>
      <w:r w:rsidR="00A3459B" w:rsidRPr="00C1205D">
        <w:rPr>
          <w:rFonts w:asciiTheme="minorHAnsi" w:hAnsiTheme="minorHAnsi" w:cstheme="minorHAnsi"/>
          <w:lang w:eastAsia="hr-HR"/>
        </w:rPr>
        <w:t>Tekuće i kapitalne donacije</w:t>
      </w:r>
      <w:r w:rsidR="00413716">
        <w:rPr>
          <w:rFonts w:asciiTheme="minorHAnsi" w:hAnsiTheme="minorHAnsi" w:cstheme="minorHAnsi"/>
          <w:lang w:eastAsia="hr-HR"/>
        </w:rPr>
        <w:t xml:space="preserve"> (381</w:t>
      </w:r>
      <w:r w:rsidR="00551479">
        <w:rPr>
          <w:rFonts w:asciiTheme="minorHAnsi" w:hAnsiTheme="minorHAnsi" w:cstheme="minorHAnsi"/>
          <w:lang w:eastAsia="hr-HR"/>
        </w:rPr>
        <w:t xml:space="preserve"> i 382</w:t>
      </w:r>
      <w:r w:rsidR="00413716">
        <w:rPr>
          <w:rFonts w:asciiTheme="minorHAnsi" w:hAnsiTheme="minorHAnsi" w:cstheme="minorHAnsi"/>
          <w:lang w:eastAsia="hr-HR"/>
        </w:rPr>
        <w:t>)</w:t>
      </w:r>
      <w:r w:rsidRPr="00C1205D">
        <w:rPr>
          <w:rFonts w:asciiTheme="minorHAnsi" w:hAnsiTheme="minorHAnsi" w:cstheme="minorHAnsi"/>
          <w:lang w:eastAsia="hr-HR"/>
        </w:rPr>
        <w:t xml:space="preserve"> </w:t>
      </w:r>
      <w:r w:rsidR="00A3459B" w:rsidRPr="00C1205D">
        <w:rPr>
          <w:rFonts w:asciiTheme="minorHAnsi" w:hAnsiTheme="minorHAnsi" w:cstheme="minorHAnsi"/>
          <w:lang w:eastAsia="hr-HR"/>
        </w:rPr>
        <w:t xml:space="preserve"> predstavljaju sredstva dodijeljena neprofitnim organizacijama  udrugama građana, Sportskoj zajednici,</w:t>
      </w:r>
      <w:r w:rsidR="00900CB5">
        <w:rPr>
          <w:rFonts w:asciiTheme="minorHAnsi" w:hAnsiTheme="minorHAnsi" w:cstheme="minorHAnsi"/>
          <w:lang w:eastAsia="hr-HR"/>
        </w:rPr>
        <w:t xml:space="preserve"> Vatrogasnoj zajednici,</w:t>
      </w:r>
      <w:r w:rsidR="00A3459B" w:rsidRPr="00C1205D">
        <w:rPr>
          <w:rFonts w:asciiTheme="minorHAnsi" w:hAnsiTheme="minorHAnsi" w:cstheme="minorHAnsi"/>
          <w:lang w:eastAsia="hr-HR"/>
        </w:rPr>
        <w:t xml:space="preserve"> Zajednici tehničke kulture,  Crvenom križu, Turističkoj zajednici, Gorskoj službi spašavanja,  vjerskim zajednicama.</w:t>
      </w:r>
      <w:r w:rsidR="00900CB5" w:rsidRPr="00900CB5">
        <w:t xml:space="preserve"> </w:t>
      </w:r>
      <w:r w:rsidR="00900CB5">
        <w:t>Troškovi tekućih i kapitalnih donacija su povećani  iz razloga što su isti evidentirani sukladno čl. 173. Pravilnika, odnosno isti su evidentirani u trenutku donošenja Odluke gradonačelnika o dodjeli donacije iako se ista isplaćuje mjesečno u razmjernim iznosima tijekom proračunske godine.</w:t>
      </w:r>
    </w:p>
    <w:p w14:paraId="6AB06616" w14:textId="45282259" w:rsidR="00413716" w:rsidRDefault="00A35083" w:rsidP="00106FBB">
      <w:pPr>
        <w:widowControl w:val="0"/>
        <w:autoSpaceDN w:val="0"/>
        <w:adjustRightInd w:val="0"/>
        <w:spacing w:line="240" w:lineRule="auto"/>
        <w:contextualSpacing/>
        <w:jc w:val="both"/>
        <w:rPr>
          <w:lang w:eastAsia="hr-HR"/>
        </w:rPr>
      </w:pPr>
      <w:r w:rsidRPr="00C1205D">
        <w:rPr>
          <w:rFonts w:asciiTheme="minorHAnsi" w:hAnsiTheme="minorHAnsi" w:cstheme="minorHAnsi"/>
          <w:lang w:eastAsia="hr-HR"/>
        </w:rPr>
        <w:t xml:space="preserve">- </w:t>
      </w:r>
      <w:r w:rsidR="00413716">
        <w:rPr>
          <w:rFonts w:asciiTheme="minorHAnsi" w:hAnsiTheme="minorHAnsi" w:cstheme="minorHAnsi"/>
          <w:lang w:eastAsia="hr-HR"/>
        </w:rPr>
        <w:t>n</w:t>
      </w:r>
      <w:r w:rsidR="00413716" w:rsidRPr="00157A05">
        <w:rPr>
          <w:lang w:eastAsia="hr-HR"/>
        </w:rPr>
        <w:t>aknada šteta pravnim i fizičkim osobama</w:t>
      </w:r>
      <w:r w:rsidR="00551479">
        <w:rPr>
          <w:lang w:eastAsia="hr-HR"/>
        </w:rPr>
        <w:t xml:space="preserve"> (3831)</w:t>
      </w:r>
      <w:r w:rsidR="00413716" w:rsidRPr="00157A05">
        <w:rPr>
          <w:lang w:eastAsia="hr-HR"/>
        </w:rPr>
        <w:t xml:space="preserve"> </w:t>
      </w:r>
      <w:r w:rsidR="00900CB5">
        <w:rPr>
          <w:lang w:eastAsia="hr-HR"/>
        </w:rPr>
        <w:t>povećana</w:t>
      </w:r>
      <w:r w:rsidR="00413716" w:rsidRPr="00157A05">
        <w:rPr>
          <w:lang w:eastAsia="hr-HR"/>
        </w:rPr>
        <w:t xml:space="preserve"> je u odnosu na prošlu godinu za </w:t>
      </w:r>
      <w:r w:rsidR="00BE75B4">
        <w:rPr>
          <w:lang w:eastAsia="hr-HR"/>
        </w:rPr>
        <w:t>82,22%</w:t>
      </w:r>
      <w:r w:rsidR="00413716" w:rsidRPr="00157A05">
        <w:rPr>
          <w:lang w:eastAsia="hr-HR"/>
        </w:rPr>
        <w:t xml:space="preserve"> </w:t>
      </w:r>
      <w:r w:rsidR="00BE75B4">
        <w:rPr>
          <w:lang w:eastAsia="hr-HR"/>
        </w:rPr>
        <w:t xml:space="preserve">i </w:t>
      </w:r>
      <w:r w:rsidR="00BE75B4">
        <w:t>odnosi se na naknadu Općini Velika Trnovitica  iz razloga što se na njezinom području nalazi Odlagalište komunalnog otpada „Johovača“.</w:t>
      </w:r>
    </w:p>
    <w:p w14:paraId="3EF94C6D" w14:textId="77777777" w:rsidR="00DD7B2C" w:rsidRDefault="00DD7B2C" w:rsidP="00106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155158D3" w14:textId="6B6F9971" w:rsidR="00413716" w:rsidRDefault="00BD182E" w:rsidP="00106FB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  <w:b/>
        </w:rPr>
        <w:t>Rashodi za  nabavu nefinancijske imovine</w:t>
      </w:r>
      <w:r w:rsidR="00245CD7" w:rsidRPr="00C1205D">
        <w:rPr>
          <w:rFonts w:asciiTheme="minorHAnsi" w:hAnsiTheme="minorHAnsi" w:cstheme="minorHAnsi"/>
          <w:b/>
        </w:rPr>
        <w:t xml:space="preserve"> (4)</w:t>
      </w:r>
      <w:r w:rsidRPr="00C1205D">
        <w:rPr>
          <w:rFonts w:asciiTheme="minorHAnsi" w:hAnsiTheme="minorHAnsi" w:cstheme="minorHAnsi"/>
          <w:bCs/>
          <w:i/>
          <w:iCs/>
        </w:rPr>
        <w:t xml:space="preserve"> </w:t>
      </w:r>
      <w:r w:rsidRPr="00C1205D">
        <w:rPr>
          <w:rFonts w:asciiTheme="minorHAnsi" w:hAnsiTheme="minorHAnsi" w:cstheme="minorHAnsi"/>
          <w:bCs/>
        </w:rPr>
        <w:t xml:space="preserve">iznose </w:t>
      </w:r>
      <w:r w:rsidR="00BE75B4">
        <w:rPr>
          <w:rFonts w:asciiTheme="minorHAnsi" w:hAnsiTheme="minorHAnsi" w:cstheme="minorHAnsi"/>
          <w:bCs/>
        </w:rPr>
        <w:t>1.045.587,68</w:t>
      </w:r>
      <w:r w:rsidR="000E62CD" w:rsidRPr="00C1205D">
        <w:rPr>
          <w:rFonts w:asciiTheme="minorHAnsi" w:hAnsiTheme="minorHAnsi" w:cstheme="minorHAnsi"/>
          <w:bCs/>
        </w:rPr>
        <w:t xml:space="preserve"> eura</w:t>
      </w:r>
      <w:r w:rsidRPr="00C1205D">
        <w:rPr>
          <w:rFonts w:asciiTheme="minorHAnsi" w:hAnsiTheme="minorHAnsi" w:cstheme="minorHAnsi"/>
        </w:rPr>
        <w:t xml:space="preserve"> </w:t>
      </w:r>
      <w:r w:rsidR="00BE75B4">
        <w:rPr>
          <w:rFonts w:asciiTheme="minorHAnsi" w:hAnsiTheme="minorHAnsi" w:cstheme="minorHAnsi"/>
        </w:rPr>
        <w:t>i povećani su za 27,54% u odnosu na isto razdoblje prošle godine.</w:t>
      </w:r>
    </w:p>
    <w:p w14:paraId="476FB820" w14:textId="5EC6B218" w:rsidR="00BE75B4" w:rsidRDefault="00BE75B4" w:rsidP="00BE75B4">
      <w:pPr>
        <w:spacing w:line="240" w:lineRule="auto"/>
        <w:jc w:val="both"/>
      </w:pPr>
      <w:r>
        <w:rPr>
          <w:rFonts w:asciiTheme="minorHAnsi" w:hAnsiTheme="minorHAnsi" w:cstheme="minorHAnsi"/>
        </w:rPr>
        <w:t>Rashodi za nabavu zemljišta (411) iznose 29.220,88 € i predstavljaju</w:t>
      </w:r>
      <w:r>
        <w:t xml:space="preserve"> procijenjenu vrijednost naslijeđene (</w:t>
      </w:r>
      <w:proofErr w:type="spellStart"/>
      <w:r>
        <w:t>ošasne</w:t>
      </w:r>
      <w:proofErr w:type="spellEnd"/>
      <w:r>
        <w:t>) imovine u izvještajnom razdoblju.</w:t>
      </w:r>
    </w:p>
    <w:p w14:paraId="129AEBCC" w14:textId="0A12F8DD" w:rsidR="00BE75B4" w:rsidRDefault="00BE75B4" w:rsidP="00BE75B4">
      <w:pPr>
        <w:spacing w:line="240" w:lineRule="auto"/>
        <w:jc w:val="both"/>
      </w:pPr>
      <w:r>
        <w:lastRenderedPageBreak/>
        <w:t xml:space="preserve">Ostala prava (4124) u iznosu od 550.862,40 € </w:t>
      </w:r>
      <w:r w:rsidR="00551479">
        <w:t xml:space="preserve">obuhvaćaju </w:t>
      </w:r>
      <w:r>
        <w:t>troškov</w:t>
      </w:r>
      <w:r w:rsidR="00551479">
        <w:t>e</w:t>
      </w:r>
      <w:r>
        <w:t xml:space="preserve"> provođenja projekata: „Sanacija odlagališta komunalnog otpada Johovača“ i  „Dogradnja dječjeg vrtića Maslačak na adresi Garešnica, Petra Svačića" koji predstavljaju ulaganja na tuđoj imovini.</w:t>
      </w:r>
    </w:p>
    <w:p w14:paraId="38864892" w14:textId="0061F47E" w:rsidR="00BE75B4" w:rsidRPr="00BE75B4" w:rsidRDefault="00BE75B4" w:rsidP="00BE75B4">
      <w:pPr>
        <w:spacing w:line="240" w:lineRule="auto"/>
        <w:jc w:val="both"/>
      </w:pPr>
      <w:r>
        <w:t>Ostali građevinski objekti (4214) u iznosu od 106.964,08 €</w:t>
      </w:r>
      <w:r w:rsidR="00396B47">
        <w:t xml:space="preserve"> obuhvaćaju troškove</w:t>
      </w:r>
      <w:r>
        <w:t xml:space="preserve">  projekt</w:t>
      </w:r>
      <w:r w:rsidR="00396B47">
        <w:t>a</w:t>
      </w:r>
      <w:r>
        <w:t xml:space="preserve"> „Izgradnja Parka za pse“,  darovanje sportskih terena od strane Nogometnog kluba  „Ilova“ Tomašica  te izgradnju nadstrešnice na autobusnoj stanici</w:t>
      </w:r>
      <w:r w:rsidR="00396B47">
        <w:t>.</w:t>
      </w:r>
    </w:p>
    <w:p w14:paraId="3A32D332" w14:textId="7CBA2FA4" w:rsidR="00396B47" w:rsidRDefault="00396B47" w:rsidP="00396B47">
      <w:pPr>
        <w:spacing w:line="240" w:lineRule="auto"/>
        <w:jc w:val="both"/>
      </w:pPr>
      <w:r>
        <w:t xml:space="preserve">Višegodišnji nasadi (4251) u iznosu od 26.863,75 € predstavljaju troškove nabave višegodišnjeg biljnog materijala u projektu „Izgradnja Parka za pse“, osnovno stado (4252) u iznosu od </w:t>
      </w:r>
      <w:r w:rsidR="002D3293">
        <w:t>1.050,00 € obuhvaća troškove nabave riba za akvarij kod korisnika Javne ustanove za upravljanje Centrom za posjetitelje.</w:t>
      </w:r>
    </w:p>
    <w:p w14:paraId="6430C077" w14:textId="31883740" w:rsidR="002D3293" w:rsidRDefault="002D3293" w:rsidP="002D3293">
      <w:pPr>
        <w:spacing w:line="240" w:lineRule="auto"/>
        <w:jc w:val="both"/>
      </w:pPr>
      <w:r>
        <w:rPr>
          <w:lang w:eastAsia="hr-HR"/>
        </w:rPr>
        <w:t xml:space="preserve">Nematerijalna proizvedena imovine (426) u iznosu od 29.656,25 € obuhvaća troškove </w:t>
      </w:r>
      <w:r>
        <w:t>izrade prostornih planova za Grad Garešnicu i</w:t>
      </w:r>
      <w:r w:rsidRPr="002D3293">
        <w:t xml:space="preserve"> </w:t>
      </w:r>
      <w:r>
        <w:t>glavnog projekta za uređenje dječjih igrališta.</w:t>
      </w:r>
    </w:p>
    <w:p w14:paraId="6A2CC4A7" w14:textId="54004D2F" w:rsidR="002D3293" w:rsidRDefault="002D3293" w:rsidP="002D3293">
      <w:pPr>
        <w:spacing w:line="240" w:lineRule="auto"/>
        <w:jc w:val="both"/>
      </w:pPr>
      <w:r>
        <w:rPr>
          <w:lang w:eastAsia="hr-HR"/>
        </w:rPr>
        <w:t xml:space="preserve">Dodatna ulaganja na građevinskim objektima (451) u iznosu od 200.805,89 € predstavljaju troškove projekta </w:t>
      </w:r>
      <w:r>
        <w:t xml:space="preserve"> „Rekonstrukcija Ulice Vladimira Nazora i Trga hrvatskih branitelja".</w:t>
      </w:r>
    </w:p>
    <w:p w14:paraId="5A9B25B6" w14:textId="77777777" w:rsidR="00255D73" w:rsidRDefault="00255D73" w:rsidP="00D97DE2">
      <w:pPr>
        <w:rPr>
          <w:rFonts w:asciiTheme="minorHAnsi" w:hAnsiTheme="minorHAnsi" w:cstheme="minorHAnsi"/>
          <w:b/>
        </w:rPr>
      </w:pPr>
    </w:p>
    <w:p w14:paraId="6B9B91FC" w14:textId="2AA19CC7" w:rsidR="00212895" w:rsidRPr="00D97DE2" w:rsidRDefault="00D97DE2" w:rsidP="00D97DE2">
      <w:pPr>
        <w:rPr>
          <w:rFonts w:asciiTheme="minorHAnsi" w:hAnsiTheme="minorHAnsi" w:cstheme="minorHAnsi"/>
          <w:b/>
        </w:rPr>
      </w:pPr>
      <w:r w:rsidRPr="00D97DE2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  <w:b/>
        </w:rPr>
        <w:t xml:space="preserve">  Izvještaj o korištenju proračunske zalihe</w:t>
      </w:r>
    </w:p>
    <w:p w14:paraId="5480BF68" w14:textId="76EA4248" w:rsidR="000653FB" w:rsidRDefault="000653FB" w:rsidP="00106F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0653FB">
        <w:rPr>
          <w:rFonts w:asciiTheme="minorHAnsi" w:hAnsiTheme="minorHAnsi" w:cstheme="minorHAnsi"/>
          <w:lang w:eastAsia="hr-HR"/>
        </w:rPr>
        <w:t>O korištenju proračunske zalihe odlučuje Gradonačelnik i to u 202</w:t>
      </w:r>
      <w:r w:rsidR="00C53C25">
        <w:rPr>
          <w:rFonts w:asciiTheme="minorHAnsi" w:hAnsiTheme="minorHAnsi" w:cstheme="minorHAnsi"/>
          <w:lang w:eastAsia="hr-HR"/>
        </w:rPr>
        <w:t>5</w:t>
      </w:r>
      <w:r w:rsidRPr="000653FB">
        <w:rPr>
          <w:rFonts w:asciiTheme="minorHAnsi" w:hAnsiTheme="minorHAnsi" w:cstheme="minorHAnsi"/>
          <w:lang w:eastAsia="hr-HR"/>
        </w:rPr>
        <w:t>. godini, sukladno usvojenom Proračunu Grada Garešnice za 202</w:t>
      </w:r>
      <w:r w:rsidR="002D3293">
        <w:rPr>
          <w:rFonts w:asciiTheme="minorHAnsi" w:hAnsiTheme="minorHAnsi" w:cstheme="minorHAnsi"/>
          <w:lang w:eastAsia="hr-HR"/>
        </w:rPr>
        <w:t>5</w:t>
      </w:r>
      <w:r w:rsidRPr="000653FB">
        <w:rPr>
          <w:rFonts w:asciiTheme="minorHAnsi" w:hAnsiTheme="minorHAnsi" w:cstheme="minorHAnsi"/>
          <w:lang w:eastAsia="hr-HR"/>
        </w:rPr>
        <w:t xml:space="preserve">. godinu (Službeni glasnik Grada Garešnice, br. </w:t>
      </w:r>
      <w:r w:rsidR="002D3293">
        <w:rPr>
          <w:rFonts w:asciiTheme="minorHAnsi" w:hAnsiTheme="minorHAnsi" w:cstheme="minorHAnsi"/>
          <w:lang w:eastAsia="hr-HR"/>
        </w:rPr>
        <w:t>13/24 i 5</w:t>
      </w:r>
      <w:r w:rsidR="00551479">
        <w:rPr>
          <w:rFonts w:asciiTheme="minorHAnsi" w:hAnsiTheme="minorHAnsi" w:cstheme="minorHAnsi"/>
          <w:lang w:eastAsia="hr-HR"/>
        </w:rPr>
        <w:t>/</w:t>
      </w:r>
      <w:r w:rsidR="002D3293">
        <w:rPr>
          <w:rFonts w:asciiTheme="minorHAnsi" w:hAnsiTheme="minorHAnsi" w:cstheme="minorHAnsi"/>
          <w:lang w:eastAsia="hr-HR"/>
        </w:rPr>
        <w:t>25</w:t>
      </w:r>
      <w:r w:rsidRPr="000653FB">
        <w:rPr>
          <w:rFonts w:asciiTheme="minorHAnsi" w:hAnsiTheme="minorHAnsi" w:cstheme="minorHAnsi"/>
          <w:lang w:eastAsia="hr-HR"/>
        </w:rPr>
        <w:t xml:space="preserve">) u visini do 4.000,00 EUR. </w:t>
      </w:r>
    </w:p>
    <w:p w14:paraId="05196FD8" w14:textId="7C13D11D" w:rsidR="000653FB" w:rsidRDefault="000653FB" w:rsidP="00106F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0653FB">
        <w:rPr>
          <w:rFonts w:asciiTheme="minorHAnsi" w:hAnsiTheme="minorHAnsi" w:cstheme="minorHAnsi"/>
          <w:lang w:eastAsia="hr-HR"/>
        </w:rPr>
        <w:t>Sredstva za korištenje proračunske zalihe Proračuna Grada Garešnice za 202</w:t>
      </w:r>
      <w:r w:rsidR="002F6954">
        <w:rPr>
          <w:rFonts w:asciiTheme="minorHAnsi" w:hAnsiTheme="minorHAnsi" w:cstheme="minorHAnsi"/>
          <w:lang w:eastAsia="hr-HR"/>
        </w:rPr>
        <w:t>5</w:t>
      </w:r>
      <w:r w:rsidRPr="000653FB">
        <w:rPr>
          <w:rFonts w:asciiTheme="minorHAnsi" w:hAnsiTheme="minorHAnsi" w:cstheme="minorHAnsi"/>
          <w:lang w:eastAsia="hr-HR"/>
        </w:rPr>
        <w:t>. godinu planirana su u Razdjelu 001 – Gradsko vijeće i Ured Gradonačelnika, Glava 001002 – Ured gradonačelnika, Aktivnost A100103 -  Tekuća zaliha proračuna.</w:t>
      </w:r>
    </w:p>
    <w:p w14:paraId="20A875DB" w14:textId="7EA47DF0" w:rsidR="00106FBB" w:rsidRPr="000653FB" w:rsidRDefault="000653FB" w:rsidP="00106FBB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0653FB">
        <w:rPr>
          <w:rFonts w:asciiTheme="minorHAnsi" w:hAnsiTheme="minorHAnsi" w:cstheme="minorHAnsi"/>
          <w:lang w:eastAsia="hr-HR"/>
        </w:rPr>
        <w:t>Člankom 9. Odluke o izvršavanju Proračuna Grada Garešnice za 202</w:t>
      </w:r>
      <w:r w:rsidR="002F6954">
        <w:rPr>
          <w:rFonts w:asciiTheme="minorHAnsi" w:hAnsiTheme="minorHAnsi" w:cstheme="minorHAnsi"/>
          <w:lang w:eastAsia="hr-HR"/>
        </w:rPr>
        <w:t>5</w:t>
      </w:r>
      <w:r w:rsidRPr="000653FB">
        <w:rPr>
          <w:rFonts w:asciiTheme="minorHAnsi" w:hAnsiTheme="minorHAnsi" w:cstheme="minorHAnsi"/>
          <w:lang w:eastAsia="hr-HR"/>
        </w:rPr>
        <w:t>. godinu propisano je da se sredstva koriste za financiranje rashoda nastalih pri otklanjanju posljedica elementarnih nepogoda, epidemija, ekoloških nesreća ili izvanrednih događaja koji mogu ugroziti okoliš i ostalih nepredvidivih nesreća, za izvršavanje sudskih odluka i nagodbi za isplatu naknade i rente, te za druge nepredviđene rashode u tijeku godine.</w:t>
      </w:r>
    </w:p>
    <w:p w14:paraId="6C7E495A" w14:textId="0BA9C096" w:rsidR="003C25A4" w:rsidRDefault="000653FB" w:rsidP="00106F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0653FB">
        <w:rPr>
          <w:rFonts w:asciiTheme="minorHAnsi" w:hAnsiTheme="minorHAnsi" w:cstheme="minorHAnsi"/>
          <w:lang w:eastAsia="hr-HR"/>
        </w:rPr>
        <w:t xml:space="preserve">U razdoblju od 1. </w:t>
      </w:r>
      <w:r>
        <w:rPr>
          <w:rFonts w:asciiTheme="minorHAnsi" w:hAnsiTheme="minorHAnsi" w:cstheme="minorHAnsi"/>
          <w:lang w:eastAsia="hr-HR"/>
        </w:rPr>
        <w:t>siječnja</w:t>
      </w:r>
      <w:r w:rsidRPr="000653FB">
        <w:rPr>
          <w:rFonts w:asciiTheme="minorHAnsi" w:hAnsiTheme="minorHAnsi" w:cstheme="minorHAnsi"/>
          <w:lang w:eastAsia="hr-HR"/>
        </w:rPr>
        <w:t xml:space="preserve"> do 30. lipnja 202</w:t>
      </w:r>
      <w:r w:rsidR="002F6954">
        <w:rPr>
          <w:rFonts w:asciiTheme="minorHAnsi" w:hAnsiTheme="minorHAnsi" w:cstheme="minorHAnsi"/>
          <w:lang w:eastAsia="hr-HR"/>
        </w:rPr>
        <w:t>5</w:t>
      </w:r>
      <w:r w:rsidRPr="000653FB">
        <w:rPr>
          <w:rFonts w:asciiTheme="minorHAnsi" w:hAnsiTheme="minorHAnsi" w:cstheme="minorHAnsi"/>
          <w:lang w:eastAsia="hr-HR"/>
        </w:rPr>
        <w:t>.  godine u okviru navedene aktivnosti nismo koristili sredstva tekuće zalihe proračuna.</w:t>
      </w:r>
    </w:p>
    <w:p w14:paraId="32B46955" w14:textId="77777777" w:rsidR="000653FB" w:rsidRDefault="000653FB" w:rsidP="00065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14:paraId="5CF737D7" w14:textId="77777777" w:rsidR="00255D73" w:rsidRPr="000653FB" w:rsidRDefault="00255D73" w:rsidP="000653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14:paraId="415D07AB" w14:textId="6A1CEBF1" w:rsidR="003C25A4" w:rsidRDefault="00D97DE2" w:rsidP="003C25A4">
      <w:pPr>
        <w:rPr>
          <w:rFonts w:asciiTheme="minorHAnsi" w:hAnsiTheme="minorHAnsi" w:cstheme="minorHAnsi"/>
          <w:b/>
        </w:rPr>
      </w:pPr>
      <w:r w:rsidRPr="003131F1">
        <w:rPr>
          <w:rFonts w:asciiTheme="minorHAnsi" w:hAnsiTheme="minorHAnsi" w:cstheme="minorHAnsi"/>
          <w:b/>
        </w:rPr>
        <w:t>5</w:t>
      </w:r>
      <w:r w:rsidR="003C25A4" w:rsidRPr="003131F1">
        <w:rPr>
          <w:rFonts w:asciiTheme="minorHAnsi" w:hAnsiTheme="minorHAnsi" w:cstheme="minorHAnsi"/>
          <w:b/>
        </w:rPr>
        <w:t>. Izvještaj o zaduživanju na domaćem i stranom tržištu novca</w:t>
      </w:r>
    </w:p>
    <w:p w14:paraId="43D5BF63" w14:textId="2473EFE5" w:rsidR="00C45B0E" w:rsidRPr="00C45B0E" w:rsidRDefault="00C45B0E" w:rsidP="00C45B0E">
      <w:pPr>
        <w:spacing w:after="0"/>
        <w:jc w:val="both"/>
        <w:rPr>
          <w:rFonts w:asciiTheme="minorHAnsi" w:hAnsiTheme="minorHAnsi" w:cstheme="minorHAnsi"/>
          <w:lang w:eastAsia="hr-HR"/>
        </w:rPr>
      </w:pPr>
      <w:r w:rsidRPr="00C45B0E">
        <w:rPr>
          <w:rFonts w:asciiTheme="minorHAnsi" w:hAnsiTheme="minorHAnsi" w:cstheme="minorHAnsi"/>
          <w:lang w:eastAsia="hr-HR"/>
        </w:rPr>
        <w:t>Ukupan iznos zaduženja Grada Garešnice na dan 30.06.2025. godine iznosi 668.335,06 eura</w:t>
      </w:r>
      <w:r>
        <w:rPr>
          <w:rFonts w:asciiTheme="minorHAnsi" w:hAnsiTheme="minorHAnsi" w:cstheme="minorHAnsi"/>
          <w:lang w:eastAsia="hr-HR"/>
        </w:rPr>
        <w:t xml:space="preserve"> </w:t>
      </w:r>
      <w:r w:rsidRPr="00C45B0E">
        <w:rPr>
          <w:rFonts w:asciiTheme="minorHAnsi" w:hAnsiTheme="minorHAnsi" w:cstheme="minorHAnsi"/>
          <w:lang w:eastAsia="hr-HR"/>
        </w:rPr>
        <w:t>temeljem:</w:t>
      </w:r>
    </w:p>
    <w:p w14:paraId="7A1C1E31" w14:textId="77777777" w:rsidR="00C45B0E" w:rsidRPr="00C45B0E" w:rsidRDefault="00C45B0E" w:rsidP="00C45B0E">
      <w:pPr>
        <w:pStyle w:val="Odlomakpopisa"/>
        <w:numPr>
          <w:ilvl w:val="0"/>
          <w:numId w:val="40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45B0E">
        <w:rPr>
          <w:rFonts w:asciiTheme="minorHAnsi" w:hAnsiTheme="minorHAnsi" w:cstheme="minorHAnsi"/>
          <w:sz w:val="22"/>
          <w:szCs w:val="22"/>
        </w:rPr>
        <w:t>Ugovora o dugoročnom zaduživanju za kapitalne projekte broj: 5002512364 u iznosu od 627.143,50 eura.</w:t>
      </w:r>
    </w:p>
    <w:p w14:paraId="23BF26DA" w14:textId="77777777" w:rsidR="00C45B0E" w:rsidRPr="00C45B0E" w:rsidRDefault="00C45B0E" w:rsidP="00C45B0E">
      <w:pPr>
        <w:spacing w:after="0"/>
        <w:jc w:val="both"/>
        <w:rPr>
          <w:rFonts w:asciiTheme="minorHAnsi" w:hAnsiTheme="minorHAnsi" w:cstheme="minorHAnsi"/>
          <w:lang w:eastAsia="hr-HR"/>
        </w:rPr>
      </w:pPr>
      <w:r w:rsidRPr="00C45B0E">
        <w:rPr>
          <w:rFonts w:asciiTheme="minorHAnsi" w:hAnsiTheme="minorHAnsi" w:cstheme="minorHAnsi"/>
          <w:lang w:eastAsia="hr-HR"/>
        </w:rPr>
        <w:t xml:space="preserve">Grad Garešnica je dana 20.12.2024. godine potpisao Ugovor o dugoročnom zaduživanju za kapitalne projekte broj: 5002512364 sa Erste &amp; Steiermarkische bank d.d. temeljem Suglasnosti Vlade RH u iznosu od 1.272.397,00 eura. Rok korištenja kredita je 31.12.2025. godine, rok vraćanja 31.12.2035. godine. </w:t>
      </w:r>
    </w:p>
    <w:p w14:paraId="77424625" w14:textId="77777777" w:rsidR="00C45B0E" w:rsidRPr="00C45B0E" w:rsidRDefault="00C45B0E" w:rsidP="00C45B0E">
      <w:pPr>
        <w:spacing w:after="0"/>
        <w:jc w:val="both"/>
        <w:rPr>
          <w:rFonts w:asciiTheme="minorHAnsi" w:hAnsiTheme="minorHAnsi" w:cstheme="minorHAnsi"/>
          <w:lang w:eastAsia="hr-HR"/>
        </w:rPr>
      </w:pPr>
      <w:r w:rsidRPr="00C45B0E">
        <w:rPr>
          <w:rFonts w:asciiTheme="minorHAnsi" w:hAnsiTheme="minorHAnsi" w:cstheme="minorHAnsi"/>
          <w:lang w:eastAsia="hr-HR"/>
        </w:rPr>
        <w:t xml:space="preserve">U 2024. godini ostvarili smo primitke u iznosu od 627.143,50 eura temeljem realiziranih troškova za projekte koji se financiraju iz navedenog dugoročnog kredita i to Sanacija odlagališta komunalnog otpada Johovača i Obnova dječjeg vrtića Maslačak, objekt na adresi Garešnica, Petra Svačića 11 D, Garešnica, Faza I. </w:t>
      </w:r>
    </w:p>
    <w:p w14:paraId="68EA3868" w14:textId="4297CA55" w:rsidR="00C45B0E" w:rsidRPr="00C45B0E" w:rsidRDefault="00C45B0E" w:rsidP="00C45B0E">
      <w:pPr>
        <w:spacing w:after="0"/>
        <w:jc w:val="both"/>
        <w:rPr>
          <w:rFonts w:asciiTheme="minorHAnsi" w:hAnsiTheme="minorHAnsi" w:cstheme="minorHAnsi"/>
          <w:lang w:eastAsia="hr-HR"/>
        </w:rPr>
      </w:pPr>
      <w:r w:rsidRPr="00C45B0E">
        <w:rPr>
          <w:rFonts w:asciiTheme="minorHAnsi" w:hAnsiTheme="minorHAnsi" w:cstheme="minorHAnsi"/>
          <w:lang w:eastAsia="hr-HR"/>
        </w:rPr>
        <w:t>U izvještajnom razdoblju 2025. godine nismo ostvarili primitke temeljem istog Ugovora.</w:t>
      </w:r>
    </w:p>
    <w:p w14:paraId="4489E82F" w14:textId="77777777" w:rsidR="00C45B0E" w:rsidRPr="00B95AC0" w:rsidRDefault="00C45B0E" w:rsidP="00C45B0E">
      <w:pPr>
        <w:pStyle w:val="Odlomakpopisa"/>
        <w:ind w:left="0"/>
        <w:jc w:val="both"/>
        <w:rPr>
          <w:bCs/>
        </w:rPr>
      </w:pPr>
    </w:p>
    <w:p w14:paraId="799D3EE5" w14:textId="77777777" w:rsidR="00C45B0E" w:rsidRPr="00C45B0E" w:rsidRDefault="00C45B0E" w:rsidP="00C45B0E">
      <w:pPr>
        <w:pStyle w:val="Odlomakpopisa"/>
        <w:numPr>
          <w:ilvl w:val="0"/>
          <w:numId w:val="4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45B0E">
        <w:rPr>
          <w:rFonts w:asciiTheme="minorHAnsi" w:hAnsiTheme="minorHAnsi" w:cstheme="minorHAnsi"/>
          <w:sz w:val="22"/>
          <w:szCs w:val="22"/>
        </w:rPr>
        <w:lastRenderedPageBreak/>
        <w:t>Beskamatnog zajma iz Državnog proračuna u iznosu od 41.191,56 eura.</w:t>
      </w:r>
    </w:p>
    <w:p w14:paraId="5E77CBC6" w14:textId="0A4DF11E" w:rsidR="00255D73" w:rsidRDefault="00C45B0E" w:rsidP="00255D73">
      <w:pPr>
        <w:jc w:val="both"/>
        <w:rPr>
          <w:rFonts w:asciiTheme="minorHAnsi" w:hAnsiTheme="minorHAnsi" w:cstheme="minorHAnsi"/>
          <w:lang w:eastAsia="hr-HR"/>
        </w:rPr>
      </w:pPr>
      <w:r w:rsidRPr="00C45B0E">
        <w:rPr>
          <w:rFonts w:asciiTheme="minorHAnsi" w:hAnsiTheme="minorHAnsi" w:cstheme="minorHAnsi"/>
          <w:lang w:eastAsia="hr-HR"/>
        </w:rPr>
        <w:t>Sa 1.1.202</w:t>
      </w:r>
      <w:r>
        <w:rPr>
          <w:rFonts w:asciiTheme="minorHAnsi" w:hAnsiTheme="minorHAnsi" w:cstheme="minorHAnsi"/>
          <w:lang w:eastAsia="hr-HR"/>
        </w:rPr>
        <w:t>5</w:t>
      </w:r>
      <w:r w:rsidRPr="00C45B0E">
        <w:rPr>
          <w:rFonts w:asciiTheme="minorHAnsi" w:hAnsiTheme="minorHAnsi" w:cstheme="minorHAnsi"/>
          <w:lang w:eastAsia="hr-HR"/>
        </w:rPr>
        <w:t xml:space="preserve">. godine Grad Garešnica imao je evidentiranu obvezu u iznosu od </w:t>
      </w:r>
      <w:r>
        <w:rPr>
          <w:rFonts w:asciiTheme="minorHAnsi" w:hAnsiTheme="minorHAnsi" w:cstheme="minorHAnsi"/>
          <w:lang w:eastAsia="hr-HR"/>
        </w:rPr>
        <w:t>41.191,56</w:t>
      </w:r>
      <w:r w:rsidRPr="00C45B0E">
        <w:rPr>
          <w:rFonts w:asciiTheme="minorHAnsi" w:hAnsiTheme="minorHAnsi" w:cstheme="minorHAnsi"/>
          <w:lang w:eastAsia="hr-HR"/>
        </w:rPr>
        <w:t xml:space="preserve"> eura za povrat beskamatnog zajma iz Državnog proračuna radi premošćivanja situacije nastale zbog različite dinamike priljeva sredstava i dospijeća obveza uslijed odgode plaćanja i/ili obročne otplate, povrata, odnosno oslobođenja od plaćanja poreza na dohodak i prireza porezu na dohodak. U izvještajnom razdoblju </w:t>
      </w:r>
      <w:r>
        <w:rPr>
          <w:rFonts w:asciiTheme="minorHAnsi" w:hAnsiTheme="minorHAnsi" w:cstheme="minorHAnsi"/>
          <w:lang w:eastAsia="hr-HR"/>
        </w:rPr>
        <w:t>ni</w:t>
      </w:r>
      <w:r w:rsidR="004C3F19">
        <w:rPr>
          <w:rFonts w:asciiTheme="minorHAnsi" w:hAnsiTheme="minorHAnsi" w:cstheme="minorHAnsi"/>
          <w:lang w:eastAsia="hr-HR"/>
        </w:rPr>
        <w:t>je bilo povrata istog zajma.</w:t>
      </w:r>
    </w:p>
    <w:p w14:paraId="7149DBFF" w14:textId="77777777" w:rsidR="002F6954" w:rsidRPr="00255D73" w:rsidRDefault="002F6954" w:rsidP="00255D73">
      <w:pPr>
        <w:jc w:val="both"/>
        <w:rPr>
          <w:rFonts w:asciiTheme="minorHAnsi" w:hAnsiTheme="minorHAnsi" w:cstheme="minorHAnsi"/>
          <w:lang w:eastAsia="hr-HR"/>
        </w:rPr>
      </w:pPr>
    </w:p>
    <w:p w14:paraId="2E7D1B28" w14:textId="6ECA3278" w:rsidR="003C25A4" w:rsidRPr="003131F1" w:rsidRDefault="00D97DE2" w:rsidP="00B553C1">
      <w:pPr>
        <w:jc w:val="both"/>
        <w:rPr>
          <w:rFonts w:asciiTheme="minorHAnsi" w:hAnsiTheme="minorHAnsi" w:cstheme="minorHAnsi"/>
          <w:b/>
        </w:rPr>
      </w:pPr>
      <w:r w:rsidRPr="003131F1">
        <w:rPr>
          <w:rFonts w:asciiTheme="minorHAnsi" w:hAnsiTheme="minorHAnsi" w:cstheme="minorHAnsi"/>
          <w:b/>
        </w:rPr>
        <w:t>6</w:t>
      </w:r>
      <w:r w:rsidR="003C25A4" w:rsidRPr="003131F1">
        <w:rPr>
          <w:rFonts w:asciiTheme="minorHAnsi" w:hAnsiTheme="minorHAnsi" w:cstheme="minorHAnsi"/>
          <w:b/>
        </w:rPr>
        <w:t>. Izvještaj o danim jamstvima i plaćanjima po protestiranim jamstvima</w:t>
      </w:r>
    </w:p>
    <w:p w14:paraId="1087A520" w14:textId="77777777" w:rsidR="003C25A4" w:rsidRPr="00C1205D" w:rsidRDefault="003C25A4" w:rsidP="003C25A4">
      <w:pPr>
        <w:jc w:val="both"/>
        <w:rPr>
          <w:rFonts w:asciiTheme="minorHAnsi" w:hAnsiTheme="minorHAnsi" w:cstheme="minorHAnsi"/>
        </w:rPr>
      </w:pPr>
      <w:r w:rsidRPr="00C1205D">
        <w:rPr>
          <w:rFonts w:asciiTheme="minorHAnsi" w:hAnsiTheme="minorHAnsi" w:cstheme="minorHAnsi"/>
        </w:rPr>
        <w:t>Grad Garešnica u izvještajnom razdoblju nema aktivnih jamstava, odnosno nije davao nova jamstva niti je vršio plaćanja po protestiranim jamstvima.</w:t>
      </w:r>
    </w:p>
    <w:p w14:paraId="762F03CF" w14:textId="77777777" w:rsidR="00780781" w:rsidRPr="00C1205D" w:rsidRDefault="00780781" w:rsidP="00E40FD3">
      <w:pPr>
        <w:spacing w:after="120" w:line="240" w:lineRule="auto"/>
        <w:rPr>
          <w:rFonts w:asciiTheme="minorHAnsi" w:hAnsiTheme="minorHAnsi" w:cstheme="minorHAnsi"/>
          <w:b/>
        </w:rPr>
      </w:pPr>
    </w:p>
    <w:p w14:paraId="0A04A082" w14:textId="77777777" w:rsidR="00BD182E" w:rsidRPr="00C1205D" w:rsidRDefault="00BD182E" w:rsidP="00E40FD3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C1205D">
        <w:rPr>
          <w:rFonts w:asciiTheme="minorHAnsi" w:hAnsiTheme="minorHAnsi" w:cstheme="minorHAnsi"/>
          <w:b/>
        </w:rPr>
        <w:t>Članak 3.</w:t>
      </w:r>
    </w:p>
    <w:p w14:paraId="6813D654" w14:textId="14242CDD" w:rsidR="00DE0FE2" w:rsidRDefault="00B553C1" w:rsidP="00DE0FE2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Polug</w:t>
      </w:r>
      <w:r w:rsidR="003C25A4" w:rsidRPr="00C1205D">
        <w:rPr>
          <w:rFonts w:asciiTheme="minorHAnsi" w:hAnsiTheme="minorHAnsi" w:cstheme="minorHAnsi"/>
        </w:rPr>
        <w:t>odišnji izvještaj</w:t>
      </w:r>
      <w:r w:rsidR="00BD182E" w:rsidRPr="00C1205D">
        <w:rPr>
          <w:rFonts w:asciiTheme="minorHAnsi" w:hAnsiTheme="minorHAnsi" w:cstheme="minorHAnsi"/>
        </w:rPr>
        <w:t xml:space="preserve"> o izvršenju proračuna Grada Garešnica za 202</w:t>
      </w:r>
      <w:r w:rsidR="004C3F19">
        <w:rPr>
          <w:rFonts w:asciiTheme="minorHAnsi" w:hAnsiTheme="minorHAnsi" w:cstheme="minorHAnsi"/>
        </w:rPr>
        <w:t>5</w:t>
      </w:r>
      <w:r w:rsidR="00BD182E" w:rsidRPr="00C1205D">
        <w:rPr>
          <w:rFonts w:asciiTheme="minorHAnsi" w:hAnsiTheme="minorHAnsi" w:cstheme="minorHAnsi"/>
        </w:rPr>
        <w:t>. godinu objavit će se u Službenom glasniku Grada Garešnica i na službenoj internetskoj stranici Grada Garešnica.</w:t>
      </w:r>
    </w:p>
    <w:p w14:paraId="41CB1C3F" w14:textId="77777777" w:rsidR="00DE0FE2" w:rsidRDefault="00DE0FE2" w:rsidP="00DE0FE2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1235216" w14:textId="77777777" w:rsidR="00DE0FE2" w:rsidRDefault="00DE0FE2" w:rsidP="00DE0FE2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C37A4EC" w14:textId="12194FCD" w:rsidR="00BD182E" w:rsidRPr="00C1205D" w:rsidRDefault="00DE0FE2" w:rsidP="00DE0FE2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="00BD182E" w:rsidRPr="00C1205D">
        <w:rPr>
          <w:rFonts w:asciiTheme="minorHAnsi" w:hAnsiTheme="minorHAnsi" w:cstheme="minorHAnsi"/>
        </w:rPr>
        <w:t>PREDSJEDNIK</w:t>
      </w:r>
      <w:r>
        <w:rPr>
          <w:rFonts w:asciiTheme="minorHAnsi" w:hAnsiTheme="minorHAnsi" w:cstheme="minorHAnsi"/>
        </w:rPr>
        <w:t xml:space="preserve"> GRADSKOG VIJEĆA</w:t>
      </w:r>
    </w:p>
    <w:p w14:paraId="3A55644A" w14:textId="77777777" w:rsidR="003C25A4" w:rsidRPr="00C1205D" w:rsidRDefault="003C25A4" w:rsidP="003C25A4">
      <w:pPr>
        <w:spacing w:after="120" w:line="240" w:lineRule="auto"/>
        <w:ind w:left="1411" w:firstLine="4253"/>
        <w:rPr>
          <w:rFonts w:asciiTheme="minorHAnsi" w:hAnsiTheme="minorHAnsi" w:cstheme="minorHAnsi"/>
        </w:rPr>
      </w:pPr>
    </w:p>
    <w:p w14:paraId="1DAFBEB9" w14:textId="26FC7910" w:rsidR="00BD182E" w:rsidRPr="00C1205D" w:rsidRDefault="00DE0FE2" w:rsidP="00DE0FE2">
      <w:pPr>
        <w:spacing w:after="120" w:line="240" w:lineRule="auto"/>
        <w:ind w:left="1411" w:firstLine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BD182E" w:rsidRPr="00C1205D">
        <w:rPr>
          <w:rFonts w:asciiTheme="minorHAnsi" w:hAnsiTheme="minorHAnsi" w:cstheme="minorHAnsi"/>
        </w:rPr>
        <w:t>Željko Starčević</w:t>
      </w:r>
      <w:bookmarkEnd w:id="0"/>
    </w:p>
    <w:sectPr w:rsidR="00BD182E" w:rsidRPr="00C1205D" w:rsidSect="003201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DCFF" w14:textId="77777777" w:rsidR="003A4C68" w:rsidRDefault="003A4C68" w:rsidP="00BC3810">
      <w:pPr>
        <w:spacing w:after="0" w:line="240" w:lineRule="auto"/>
      </w:pPr>
      <w:r>
        <w:separator/>
      </w:r>
    </w:p>
  </w:endnote>
  <w:endnote w:type="continuationSeparator" w:id="0">
    <w:p w14:paraId="4A54DFFD" w14:textId="77777777" w:rsidR="003A4C68" w:rsidRDefault="003A4C68" w:rsidP="00BC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3D13" w14:textId="77777777" w:rsidR="003A4C68" w:rsidRDefault="003A4C68" w:rsidP="00BC3810">
      <w:pPr>
        <w:spacing w:after="0" w:line="240" w:lineRule="auto"/>
      </w:pPr>
      <w:r>
        <w:separator/>
      </w:r>
    </w:p>
  </w:footnote>
  <w:footnote w:type="continuationSeparator" w:id="0">
    <w:p w14:paraId="7EE30767" w14:textId="77777777" w:rsidR="003A4C68" w:rsidRDefault="003A4C68" w:rsidP="00BC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1B91" w14:textId="77777777" w:rsidR="00CD46B1" w:rsidRDefault="00CD46B1" w:rsidP="00BC3810">
    <w:pPr>
      <w:tabs>
        <w:tab w:val="left" w:pos="2741"/>
        <w:tab w:val="left" w:pos="7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B0"/>
    <w:multiLevelType w:val="hybridMultilevel"/>
    <w:tmpl w:val="6C4655E6"/>
    <w:lvl w:ilvl="0" w:tplc="9E3A8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DE6256"/>
    <w:multiLevelType w:val="hybridMultilevel"/>
    <w:tmpl w:val="B328A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2E3A"/>
    <w:multiLevelType w:val="hybridMultilevel"/>
    <w:tmpl w:val="43F46C1A"/>
    <w:lvl w:ilvl="0" w:tplc="041A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12741E8F"/>
    <w:multiLevelType w:val="hybridMultilevel"/>
    <w:tmpl w:val="0AE65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61B4"/>
    <w:multiLevelType w:val="hybridMultilevel"/>
    <w:tmpl w:val="ED82205C"/>
    <w:lvl w:ilvl="0" w:tplc="3EC203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10E7"/>
    <w:multiLevelType w:val="hybridMultilevel"/>
    <w:tmpl w:val="3F528D42"/>
    <w:lvl w:ilvl="0" w:tplc="A07A021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54796A"/>
    <w:multiLevelType w:val="hybridMultilevel"/>
    <w:tmpl w:val="7A6C06E8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7648D5"/>
    <w:multiLevelType w:val="hybridMultilevel"/>
    <w:tmpl w:val="7966AB38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225C"/>
    <w:multiLevelType w:val="hybridMultilevel"/>
    <w:tmpl w:val="E592D8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1811"/>
    <w:multiLevelType w:val="hybridMultilevel"/>
    <w:tmpl w:val="E38E6F04"/>
    <w:lvl w:ilvl="0" w:tplc="041A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259A34CB"/>
    <w:multiLevelType w:val="hybridMultilevel"/>
    <w:tmpl w:val="19ECB7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E2DFC"/>
    <w:multiLevelType w:val="hybridMultilevel"/>
    <w:tmpl w:val="FFFFFFFF"/>
    <w:lvl w:ilvl="0" w:tplc="C86ED774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52351"/>
    <w:multiLevelType w:val="hybridMultilevel"/>
    <w:tmpl w:val="A7563B4C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2DCA4F00"/>
    <w:multiLevelType w:val="hybridMultilevel"/>
    <w:tmpl w:val="0504B932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3D5E"/>
    <w:multiLevelType w:val="hybridMultilevel"/>
    <w:tmpl w:val="029EE110"/>
    <w:lvl w:ilvl="0" w:tplc="32F411AA">
      <w:start w:val="8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1B34EC9"/>
    <w:multiLevelType w:val="hybridMultilevel"/>
    <w:tmpl w:val="FFFFFFFF"/>
    <w:lvl w:ilvl="0" w:tplc="1FB01F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932C4"/>
    <w:multiLevelType w:val="hybridMultilevel"/>
    <w:tmpl w:val="EACE919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E3D83"/>
    <w:multiLevelType w:val="hybridMultilevel"/>
    <w:tmpl w:val="C6BCA436"/>
    <w:lvl w:ilvl="0" w:tplc="041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EF20C7B"/>
    <w:multiLevelType w:val="hybridMultilevel"/>
    <w:tmpl w:val="E9E0E9E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F5977F5"/>
    <w:multiLevelType w:val="multilevel"/>
    <w:tmpl w:val="80B29324"/>
    <w:lvl w:ilvl="0">
      <w:start w:val="6"/>
      <w:numFmt w:val="decimal"/>
      <w:lvlText w:val="%1"/>
      <w:lvlJc w:val="left"/>
      <w:pPr>
        <w:ind w:left="1522" w:hanging="365"/>
      </w:pPr>
      <w:rPr>
        <w:rFonts w:hint="default"/>
        <w:lang w:val="bs" w:eastAsia="en-US" w:bidi="ar-SA"/>
      </w:rPr>
    </w:lvl>
    <w:lvl w:ilvl="1">
      <w:start w:val="5"/>
      <w:numFmt w:val="decimal"/>
      <w:lvlText w:val="%1.%2."/>
      <w:lvlJc w:val="left"/>
      <w:pPr>
        <w:ind w:left="1522" w:hanging="365"/>
      </w:pPr>
      <w:rPr>
        <w:rFonts w:ascii="Calibri" w:eastAsia="Calibri" w:hAnsi="Calibri" w:cs="Calibri" w:hint="default"/>
        <w:spacing w:val="-1"/>
        <w:w w:val="82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648" w:hanging="356"/>
      </w:pPr>
      <w:rPr>
        <w:rFonts w:ascii="Symbol" w:eastAsia="Symbol" w:hAnsi="Symbol" w:cs="Symbol" w:hint="default"/>
        <w:w w:val="100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610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595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580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550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36" w:hanging="356"/>
      </w:pPr>
      <w:rPr>
        <w:rFonts w:hint="default"/>
        <w:lang w:val="bs" w:eastAsia="en-US" w:bidi="ar-SA"/>
      </w:rPr>
    </w:lvl>
  </w:abstractNum>
  <w:abstractNum w:abstractNumId="22" w15:restartNumberingAfterBreak="0">
    <w:nsid w:val="40D45049"/>
    <w:multiLevelType w:val="hybridMultilevel"/>
    <w:tmpl w:val="EECCBF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607E3"/>
    <w:multiLevelType w:val="hybridMultilevel"/>
    <w:tmpl w:val="0F7C68BC"/>
    <w:lvl w:ilvl="0" w:tplc="2D126D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06A55"/>
    <w:multiLevelType w:val="hybridMultilevel"/>
    <w:tmpl w:val="35D82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4766"/>
    <w:multiLevelType w:val="hybridMultilevel"/>
    <w:tmpl w:val="4B043822"/>
    <w:lvl w:ilvl="0" w:tplc="AD3ECA3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C1A54EB"/>
    <w:multiLevelType w:val="hybridMultilevel"/>
    <w:tmpl w:val="F4FE5AA4"/>
    <w:lvl w:ilvl="0" w:tplc="E57E9E3E">
      <w:numFmt w:val="bullet"/>
      <w:lvlText w:val="-"/>
      <w:lvlJc w:val="left"/>
      <w:pPr>
        <w:ind w:left="26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7" w15:restartNumberingAfterBreak="0">
    <w:nsid w:val="51A01B3D"/>
    <w:multiLevelType w:val="multilevel"/>
    <w:tmpl w:val="B8981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73736A"/>
    <w:multiLevelType w:val="multilevel"/>
    <w:tmpl w:val="F6500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6E01BBF"/>
    <w:multiLevelType w:val="hybridMultilevel"/>
    <w:tmpl w:val="296678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A1F33"/>
    <w:multiLevelType w:val="hybridMultilevel"/>
    <w:tmpl w:val="E924C2C8"/>
    <w:lvl w:ilvl="0" w:tplc="5198AE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84A0C"/>
    <w:multiLevelType w:val="hybridMultilevel"/>
    <w:tmpl w:val="296678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62164"/>
    <w:multiLevelType w:val="hybridMultilevel"/>
    <w:tmpl w:val="57AAA60A"/>
    <w:lvl w:ilvl="0" w:tplc="2690AF5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87E3B"/>
    <w:multiLevelType w:val="hybridMultilevel"/>
    <w:tmpl w:val="9B8A97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35B"/>
    <w:multiLevelType w:val="hybridMultilevel"/>
    <w:tmpl w:val="566254B6"/>
    <w:lvl w:ilvl="0" w:tplc="919EFF2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B73818"/>
    <w:multiLevelType w:val="hybridMultilevel"/>
    <w:tmpl w:val="BCFE0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271FF"/>
    <w:multiLevelType w:val="multilevel"/>
    <w:tmpl w:val="BB985B48"/>
    <w:lvl w:ilvl="0">
      <w:start w:val="1"/>
      <w:numFmt w:val="decimal"/>
      <w:lvlText w:val="%1."/>
      <w:lvlJc w:val="left"/>
      <w:pPr>
        <w:ind w:left="156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10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727" w:hanging="49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34" w:hanging="49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42" w:hanging="49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749" w:hanging="49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756" w:hanging="49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64" w:hanging="49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71" w:hanging="492"/>
      </w:pPr>
      <w:rPr>
        <w:rFonts w:hint="default"/>
        <w:lang w:val="hr-HR" w:eastAsia="en-US" w:bidi="ar-SA"/>
      </w:rPr>
    </w:lvl>
  </w:abstractNum>
  <w:abstractNum w:abstractNumId="37" w15:restartNumberingAfterBreak="0">
    <w:nsid w:val="69A2369A"/>
    <w:multiLevelType w:val="multilevel"/>
    <w:tmpl w:val="C4846D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C3E4D26"/>
    <w:multiLevelType w:val="hybridMultilevel"/>
    <w:tmpl w:val="39C46D6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60A"/>
    <w:multiLevelType w:val="hybridMultilevel"/>
    <w:tmpl w:val="5FD264E2"/>
    <w:lvl w:ilvl="0" w:tplc="7F70902C">
      <w:start w:val="4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8750453"/>
    <w:multiLevelType w:val="hybridMultilevel"/>
    <w:tmpl w:val="0870FF6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41905">
    <w:abstractNumId w:val="35"/>
  </w:num>
  <w:num w:numId="2" w16cid:durableId="1492524139">
    <w:abstractNumId w:val="26"/>
  </w:num>
  <w:num w:numId="3" w16cid:durableId="1097289140">
    <w:abstractNumId w:val="14"/>
  </w:num>
  <w:num w:numId="4" w16cid:durableId="547569983">
    <w:abstractNumId w:val="18"/>
  </w:num>
  <w:num w:numId="5" w16cid:durableId="579408498">
    <w:abstractNumId w:val="0"/>
  </w:num>
  <w:num w:numId="6" w16cid:durableId="1987469615">
    <w:abstractNumId w:val="24"/>
  </w:num>
  <w:num w:numId="7" w16cid:durableId="669256447">
    <w:abstractNumId w:val="1"/>
  </w:num>
  <w:num w:numId="8" w16cid:durableId="330837908">
    <w:abstractNumId w:val="27"/>
  </w:num>
  <w:num w:numId="9" w16cid:durableId="1884828760">
    <w:abstractNumId w:val="33"/>
  </w:num>
  <w:num w:numId="10" w16cid:durableId="1651979703">
    <w:abstractNumId w:val="23"/>
  </w:num>
  <w:num w:numId="11" w16cid:durableId="1927618075">
    <w:abstractNumId w:val="3"/>
  </w:num>
  <w:num w:numId="12" w16cid:durableId="1083912753">
    <w:abstractNumId w:val="7"/>
  </w:num>
  <w:num w:numId="13" w16cid:durableId="4676416">
    <w:abstractNumId w:val="9"/>
  </w:num>
  <w:num w:numId="14" w16cid:durableId="1554079707">
    <w:abstractNumId w:val="6"/>
  </w:num>
  <w:num w:numId="15" w16cid:durableId="1394505472">
    <w:abstractNumId w:val="37"/>
  </w:num>
  <w:num w:numId="16" w16cid:durableId="554317356">
    <w:abstractNumId w:val="28"/>
  </w:num>
  <w:num w:numId="17" w16cid:durableId="1386491770">
    <w:abstractNumId w:val="30"/>
  </w:num>
  <w:num w:numId="18" w16cid:durableId="102649227">
    <w:abstractNumId w:val="29"/>
  </w:num>
  <w:num w:numId="19" w16cid:durableId="526336441">
    <w:abstractNumId w:val="31"/>
  </w:num>
  <w:num w:numId="20" w16cid:durableId="159200549">
    <w:abstractNumId w:val="32"/>
  </w:num>
  <w:num w:numId="21" w16cid:durableId="221675191">
    <w:abstractNumId w:val="10"/>
  </w:num>
  <w:num w:numId="22" w16cid:durableId="2053725831">
    <w:abstractNumId w:val="12"/>
  </w:num>
  <w:num w:numId="23" w16cid:durableId="982201089">
    <w:abstractNumId w:val="22"/>
  </w:num>
  <w:num w:numId="24" w16cid:durableId="1794471148">
    <w:abstractNumId w:val="39"/>
  </w:num>
  <w:num w:numId="25" w16cid:durableId="1710449475">
    <w:abstractNumId w:val="20"/>
  </w:num>
  <w:num w:numId="26" w16cid:durableId="1248004469">
    <w:abstractNumId w:val="8"/>
  </w:num>
  <w:num w:numId="27" w16cid:durableId="1878666022">
    <w:abstractNumId w:val="2"/>
  </w:num>
  <w:num w:numId="28" w16cid:durableId="2089374834">
    <w:abstractNumId w:val="16"/>
  </w:num>
  <w:num w:numId="29" w16cid:durableId="1472283468">
    <w:abstractNumId w:val="5"/>
  </w:num>
  <w:num w:numId="30" w16cid:durableId="2068064001">
    <w:abstractNumId w:val="36"/>
  </w:num>
  <w:num w:numId="31" w16cid:durableId="131599201">
    <w:abstractNumId w:val="21"/>
  </w:num>
  <w:num w:numId="32" w16cid:durableId="827015794">
    <w:abstractNumId w:val="34"/>
  </w:num>
  <w:num w:numId="33" w16cid:durableId="1594702528">
    <w:abstractNumId w:val="4"/>
  </w:num>
  <w:num w:numId="34" w16cid:durableId="1782262072">
    <w:abstractNumId w:val="15"/>
  </w:num>
  <w:num w:numId="35" w16cid:durableId="486241603">
    <w:abstractNumId w:val="13"/>
  </w:num>
  <w:num w:numId="36" w16cid:durableId="625280222">
    <w:abstractNumId w:val="17"/>
  </w:num>
  <w:num w:numId="37" w16cid:durableId="1140490129">
    <w:abstractNumId w:val="25"/>
  </w:num>
  <w:num w:numId="38" w16cid:durableId="1322461471">
    <w:abstractNumId w:val="40"/>
  </w:num>
  <w:num w:numId="39" w16cid:durableId="2123567695">
    <w:abstractNumId w:val="38"/>
  </w:num>
  <w:num w:numId="40" w16cid:durableId="1811703742">
    <w:abstractNumId w:val="11"/>
  </w:num>
  <w:num w:numId="41" w16cid:durableId="12544071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10"/>
    <w:rsid w:val="00000CD0"/>
    <w:rsid w:val="0000444C"/>
    <w:rsid w:val="00004BC8"/>
    <w:rsid w:val="000064F0"/>
    <w:rsid w:val="00007C83"/>
    <w:rsid w:val="0001012D"/>
    <w:rsid w:val="00010171"/>
    <w:rsid w:val="00010344"/>
    <w:rsid w:val="00013767"/>
    <w:rsid w:val="000143C1"/>
    <w:rsid w:val="00015937"/>
    <w:rsid w:val="000168D9"/>
    <w:rsid w:val="00017DAF"/>
    <w:rsid w:val="00021E5E"/>
    <w:rsid w:val="00024937"/>
    <w:rsid w:val="00025795"/>
    <w:rsid w:val="00026F4A"/>
    <w:rsid w:val="000308F6"/>
    <w:rsid w:val="00030A85"/>
    <w:rsid w:val="000329A8"/>
    <w:rsid w:val="00032F5D"/>
    <w:rsid w:val="00036093"/>
    <w:rsid w:val="0003674A"/>
    <w:rsid w:val="000370D6"/>
    <w:rsid w:val="00040934"/>
    <w:rsid w:val="000415BC"/>
    <w:rsid w:val="000415F1"/>
    <w:rsid w:val="00043C24"/>
    <w:rsid w:val="00043D28"/>
    <w:rsid w:val="00044380"/>
    <w:rsid w:val="00046F93"/>
    <w:rsid w:val="00050439"/>
    <w:rsid w:val="000511AC"/>
    <w:rsid w:val="00051C35"/>
    <w:rsid w:val="000523C4"/>
    <w:rsid w:val="00052DD1"/>
    <w:rsid w:val="00052FD5"/>
    <w:rsid w:val="00056E3C"/>
    <w:rsid w:val="00060161"/>
    <w:rsid w:val="0006323B"/>
    <w:rsid w:val="00064024"/>
    <w:rsid w:val="000653FB"/>
    <w:rsid w:val="00065ED1"/>
    <w:rsid w:val="0006683C"/>
    <w:rsid w:val="00067B6B"/>
    <w:rsid w:val="0007513B"/>
    <w:rsid w:val="0007690F"/>
    <w:rsid w:val="00084774"/>
    <w:rsid w:val="0008502F"/>
    <w:rsid w:val="000877B5"/>
    <w:rsid w:val="0008799B"/>
    <w:rsid w:val="00091CCE"/>
    <w:rsid w:val="00093E29"/>
    <w:rsid w:val="00095003"/>
    <w:rsid w:val="000955EA"/>
    <w:rsid w:val="00097625"/>
    <w:rsid w:val="00097ED4"/>
    <w:rsid w:val="000A0F8E"/>
    <w:rsid w:val="000A2AC0"/>
    <w:rsid w:val="000A2B26"/>
    <w:rsid w:val="000A3BD7"/>
    <w:rsid w:val="000A621A"/>
    <w:rsid w:val="000A683E"/>
    <w:rsid w:val="000B0369"/>
    <w:rsid w:val="000B1A62"/>
    <w:rsid w:val="000B2435"/>
    <w:rsid w:val="000B3B05"/>
    <w:rsid w:val="000C0734"/>
    <w:rsid w:val="000C0DBB"/>
    <w:rsid w:val="000C150D"/>
    <w:rsid w:val="000C15F2"/>
    <w:rsid w:val="000C1BCA"/>
    <w:rsid w:val="000C24A8"/>
    <w:rsid w:val="000C3236"/>
    <w:rsid w:val="000C5821"/>
    <w:rsid w:val="000C62B5"/>
    <w:rsid w:val="000C6A46"/>
    <w:rsid w:val="000C7E36"/>
    <w:rsid w:val="000D2C0F"/>
    <w:rsid w:val="000D348B"/>
    <w:rsid w:val="000D49BE"/>
    <w:rsid w:val="000D5BA1"/>
    <w:rsid w:val="000D5E0B"/>
    <w:rsid w:val="000E4DBD"/>
    <w:rsid w:val="000E4F28"/>
    <w:rsid w:val="000E62CD"/>
    <w:rsid w:val="000E651F"/>
    <w:rsid w:val="000E6A81"/>
    <w:rsid w:val="000E72CD"/>
    <w:rsid w:val="000F4D49"/>
    <w:rsid w:val="000F512B"/>
    <w:rsid w:val="000F633B"/>
    <w:rsid w:val="000F6C8B"/>
    <w:rsid w:val="00100F8E"/>
    <w:rsid w:val="00102478"/>
    <w:rsid w:val="0010269A"/>
    <w:rsid w:val="00103436"/>
    <w:rsid w:val="00104E19"/>
    <w:rsid w:val="00105F44"/>
    <w:rsid w:val="00106FBB"/>
    <w:rsid w:val="00107FD9"/>
    <w:rsid w:val="001104BD"/>
    <w:rsid w:val="001109E6"/>
    <w:rsid w:val="001113DE"/>
    <w:rsid w:val="001126CD"/>
    <w:rsid w:val="00114C96"/>
    <w:rsid w:val="0011559D"/>
    <w:rsid w:val="001159F5"/>
    <w:rsid w:val="00115C48"/>
    <w:rsid w:val="00115DE2"/>
    <w:rsid w:val="00116331"/>
    <w:rsid w:val="0011669C"/>
    <w:rsid w:val="00120375"/>
    <w:rsid w:val="00120E15"/>
    <w:rsid w:val="00121175"/>
    <w:rsid w:val="00121AFA"/>
    <w:rsid w:val="0012281D"/>
    <w:rsid w:val="001302A4"/>
    <w:rsid w:val="001308A2"/>
    <w:rsid w:val="00131EE2"/>
    <w:rsid w:val="00133B72"/>
    <w:rsid w:val="00133F77"/>
    <w:rsid w:val="001340C4"/>
    <w:rsid w:val="00134B6F"/>
    <w:rsid w:val="001357EA"/>
    <w:rsid w:val="0013643F"/>
    <w:rsid w:val="0014058D"/>
    <w:rsid w:val="00142A8B"/>
    <w:rsid w:val="00147F47"/>
    <w:rsid w:val="0015176B"/>
    <w:rsid w:val="001528AB"/>
    <w:rsid w:val="0015340D"/>
    <w:rsid w:val="00153B6C"/>
    <w:rsid w:val="00155800"/>
    <w:rsid w:val="00155FD6"/>
    <w:rsid w:val="00156CAB"/>
    <w:rsid w:val="00161A4A"/>
    <w:rsid w:val="00163BDA"/>
    <w:rsid w:val="00164B2D"/>
    <w:rsid w:val="00167739"/>
    <w:rsid w:val="0016774E"/>
    <w:rsid w:val="00167D34"/>
    <w:rsid w:val="00170157"/>
    <w:rsid w:val="001714F7"/>
    <w:rsid w:val="00171CB0"/>
    <w:rsid w:val="00171CB2"/>
    <w:rsid w:val="001754A4"/>
    <w:rsid w:val="0017630D"/>
    <w:rsid w:val="00176773"/>
    <w:rsid w:val="00177054"/>
    <w:rsid w:val="00183BB4"/>
    <w:rsid w:val="00183FF0"/>
    <w:rsid w:val="00184ADF"/>
    <w:rsid w:val="001904A7"/>
    <w:rsid w:val="00191657"/>
    <w:rsid w:val="00192010"/>
    <w:rsid w:val="00193ED9"/>
    <w:rsid w:val="00194409"/>
    <w:rsid w:val="00194C5D"/>
    <w:rsid w:val="00196821"/>
    <w:rsid w:val="001A0945"/>
    <w:rsid w:val="001A267C"/>
    <w:rsid w:val="001A3087"/>
    <w:rsid w:val="001A4D3A"/>
    <w:rsid w:val="001A5416"/>
    <w:rsid w:val="001A6C5E"/>
    <w:rsid w:val="001B30C7"/>
    <w:rsid w:val="001B588E"/>
    <w:rsid w:val="001B7D84"/>
    <w:rsid w:val="001C1847"/>
    <w:rsid w:val="001C228D"/>
    <w:rsid w:val="001C261C"/>
    <w:rsid w:val="001C3242"/>
    <w:rsid w:val="001C4720"/>
    <w:rsid w:val="001C6148"/>
    <w:rsid w:val="001C7E19"/>
    <w:rsid w:val="001D1D24"/>
    <w:rsid w:val="001D2219"/>
    <w:rsid w:val="001D2B5F"/>
    <w:rsid w:val="001D51CB"/>
    <w:rsid w:val="001D5680"/>
    <w:rsid w:val="001D6D81"/>
    <w:rsid w:val="001E0E26"/>
    <w:rsid w:val="001E3F40"/>
    <w:rsid w:val="001E50AC"/>
    <w:rsid w:val="001E60EE"/>
    <w:rsid w:val="001F519A"/>
    <w:rsid w:val="001F6F61"/>
    <w:rsid w:val="001F7002"/>
    <w:rsid w:val="001F7AC8"/>
    <w:rsid w:val="0020530E"/>
    <w:rsid w:val="002056DB"/>
    <w:rsid w:val="00212895"/>
    <w:rsid w:val="002174EB"/>
    <w:rsid w:val="002216AC"/>
    <w:rsid w:val="002245BD"/>
    <w:rsid w:val="002251F3"/>
    <w:rsid w:val="002255B6"/>
    <w:rsid w:val="00226806"/>
    <w:rsid w:val="00227F2D"/>
    <w:rsid w:val="0023171A"/>
    <w:rsid w:val="00231FDD"/>
    <w:rsid w:val="00234614"/>
    <w:rsid w:val="0023582A"/>
    <w:rsid w:val="002365E4"/>
    <w:rsid w:val="00240035"/>
    <w:rsid w:val="002409D0"/>
    <w:rsid w:val="00242217"/>
    <w:rsid w:val="002424AF"/>
    <w:rsid w:val="002454BF"/>
    <w:rsid w:val="00245CD7"/>
    <w:rsid w:val="002466EE"/>
    <w:rsid w:val="002477AD"/>
    <w:rsid w:val="002514CF"/>
    <w:rsid w:val="0025267F"/>
    <w:rsid w:val="002528FF"/>
    <w:rsid w:val="00252EB7"/>
    <w:rsid w:val="002540F8"/>
    <w:rsid w:val="0025413E"/>
    <w:rsid w:val="00255D73"/>
    <w:rsid w:val="002560DD"/>
    <w:rsid w:val="00257B27"/>
    <w:rsid w:val="00261509"/>
    <w:rsid w:val="002625F3"/>
    <w:rsid w:val="00264421"/>
    <w:rsid w:val="00272B6F"/>
    <w:rsid w:val="00276DE2"/>
    <w:rsid w:val="002770DC"/>
    <w:rsid w:val="002809E4"/>
    <w:rsid w:val="0028117F"/>
    <w:rsid w:val="00281B7A"/>
    <w:rsid w:val="00281E0C"/>
    <w:rsid w:val="0028423D"/>
    <w:rsid w:val="00285E92"/>
    <w:rsid w:val="00286AB5"/>
    <w:rsid w:val="00287E9A"/>
    <w:rsid w:val="0029348C"/>
    <w:rsid w:val="00293A09"/>
    <w:rsid w:val="0029671A"/>
    <w:rsid w:val="002A0788"/>
    <w:rsid w:val="002A1509"/>
    <w:rsid w:val="002A4B41"/>
    <w:rsid w:val="002B0745"/>
    <w:rsid w:val="002B5876"/>
    <w:rsid w:val="002B75CD"/>
    <w:rsid w:val="002C0024"/>
    <w:rsid w:val="002C0E34"/>
    <w:rsid w:val="002C2983"/>
    <w:rsid w:val="002C439B"/>
    <w:rsid w:val="002C61E3"/>
    <w:rsid w:val="002D0CE4"/>
    <w:rsid w:val="002D24AD"/>
    <w:rsid w:val="002D3293"/>
    <w:rsid w:val="002D3E22"/>
    <w:rsid w:val="002D4FEB"/>
    <w:rsid w:val="002D6387"/>
    <w:rsid w:val="002D69EB"/>
    <w:rsid w:val="002D6CCD"/>
    <w:rsid w:val="002E01EA"/>
    <w:rsid w:val="002E1E31"/>
    <w:rsid w:val="002E762C"/>
    <w:rsid w:val="002F28FD"/>
    <w:rsid w:val="002F590D"/>
    <w:rsid w:val="002F6954"/>
    <w:rsid w:val="002F6F0E"/>
    <w:rsid w:val="002F7C05"/>
    <w:rsid w:val="0030068A"/>
    <w:rsid w:val="00303528"/>
    <w:rsid w:val="003122B1"/>
    <w:rsid w:val="003131F1"/>
    <w:rsid w:val="003141E1"/>
    <w:rsid w:val="003149F5"/>
    <w:rsid w:val="00316679"/>
    <w:rsid w:val="0031753E"/>
    <w:rsid w:val="003201ED"/>
    <w:rsid w:val="00323626"/>
    <w:rsid w:val="003254D0"/>
    <w:rsid w:val="00327748"/>
    <w:rsid w:val="00327870"/>
    <w:rsid w:val="00332272"/>
    <w:rsid w:val="00333C47"/>
    <w:rsid w:val="003355AD"/>
    <w:rsid w:val="00336476"/>
    <w:rsid w:val="003366FD"/>
    <w:rsid w:val="00342F9D"/>
    <w:rsid w:val="003452B3"/>
    <w:rsid w:val="003454D8"/>
    <w:rsid w:val="003454F1"/>
    <w:rsid w:val="0034555A"/>
    <w:rsid w:val="0035284D"/>
    <w:rsid w:val="00355F46"/>
    <w:rsid w:val="00356CF5"/>
    <w:rsid w:val="003611A9"/>
    <w:rsid w:val="00361E33"/>
    <w:rsid w:val="00362E94"/>
    <w:rsid w:val="003645DE"/>
    <w:rsid w:val="0036534B"/>
    <w:rsid w:val="003707AD"/>
    <w:rsid w:val="00371162"/>
    <w:rsid w:val="00376E44"/>
    <w:rsid w:val="00377393"/>
    <w:rsid w:val="00381597"/>
    <w:rsid w:val="00381EBD"/>
    <w:rsid w:val="00383C23"/>
    <w:rsid w:val="00384500"/>
    <w:rsid w:val="003856AA"/>
    <w:rsid w:val="00385A44"/>
    <w:rsid w:val="00387366"/>
    <w:rsid w:val="003878B5"/>
    <w:rsid w:val="0039092E"/>
    <w:rsid w:val="00390A80"/>
    <w:rsid w:val="003918E6"/>
    <w:rsid w:val="00392BD2"/>
    <w:rsid w:val="00393323"/>
    <w:rsid w:val="003934E2"/>
    <w:rsid w:val="00394C48"/>
    <w:rsid w:val="003958C4"/>
    <w:rsid w:val="00395C47"/>
    <w:rsid w:val="00396B47"/>
    <w:rsid w:val="003A01D8"/>
    <w:rsid w:val="003A173F"/>
    <w:rsid w:val="003A19FC"/>
    <w:rsid w:val="003A4C68"/>
    <w:rsid w:val="003A7997"/>
    <w:rsid w:val="003B4148"/>
    <w:rsid w:val="003B53D9"/>
    <w:rsid w:val="003B54FF"/>
    <w:rsid w:val="003B744E"/>
    <w:rsid w:val="003C1304"/>
    <w:rsid w:val="003C25A4"/>
    <w:rsid w:val="003C4CC7"/>
    <w:rsid w:val="003C572C"/>
    <w:rsid w:val="003C6EBE"/>
    <w:rsid w:val="003C7F30"/>
    <w:rsid w:val="003D1200"/>
    <w:rsid w:val="003D3F20"/>
    <w:rsid w:val="003D645A"/>
    <w:rsid w:val="003D79E3"/>
    <w:rsid w:val="003E0299"/>
    <w:rsid w:val="003E113C"/>
    <w:rsid w:val="003E447D"/>
    <w:rsid w:val="003E4CA9"/>
    <w:rsid w:val="003E6428"/>
    <w:rsid w:val="003E658E"/>
    <w:rsid w:val="003E65F1"/>
    <w:rsid w:val="003F193F"/>
    <w:rsid w:val="003F24C8"/>
    <w:rsid w:val="003F3346"/>
    <w:rsid w:val="003F47D7"/>
    <w:rsid w:val="003F5377"/>
    <w:rsid w:val="00401C14"/>
    <w:rsid w:val="004057D0"/>
    <w:rsid w:val="00406D1F"/>
    <w:rsid w:val="00411E21"/>
    <w:rsid w:val="004134D3"/>
    <w:rsid w:val="00413716"/>
    <w:rsid w:val="00414490"/>
    <w:rsid w:val="00416234"/>
    <w:rsid w:val="00417D5A"/>
    <w:rsid w:val="00421A54"/>
    <w:rsid w:val="00421B57"/>
    <w:rsid w:val="00422F5F"/>
    <w:rsid w:val="004272AB"/>
    <w:rsid w:val="00430BCC"/>
    <w:rsid w:val="00431590"/>
    <w:rsid w:val="00432382"/>
    <w:rsid w:val="00432965"/>
    <w:rsid w:val="00433B62"/>
    <w:rsid w:val="00433E8D"/>
    <w:rsid w:val="00443635"/>
    <w:rsid w:val="00443D5E"/>
    <w:rsid w:val="0044490F"/>
    <w:rsid w:val="00444F82"/>
    <w:rsid w:val="00445EA9"/>
    <w:rsid w:val="0044796A"/>
    <w:rsid w:val="00447CD2"/>
    <w:rsid w:val="00452ABF"/>
    <w:rsid w:val="0045342B"/>
    <w:rsid w:val="0045433A"/>
    <w:rsid w:val="004576A5"/>
    <w:rsid w:val="00460338"/>
    <w:rsid w:val="004616F4"/>
    <w:rsid w:val="00462E5D"/>
    <w:rsid w:val="0046458D"/>
    <w:rsid w:val="00465381"/>
    <w:rsid w:val="00466EAF"/>
    <w:rsid w:val="004705F4"/>
    <w:rsid w:val="00470C32"/>
    <w:rsid w:val="00470DC0"/>
    <w:rsid w:val="004716C6"/>
    <w:rsid w:val="0047232E"/>
    <w:rsid w:val="00473686"/>
    <w:rsid w:val="00473DE2"/>
    <w:rsid w:val="00474129"/>
    <w:rsid w:val="00474D19"/>
    <w:rsid w:val="00475D18"/>
    <w:rsid w:val="004800AD"/>
    <w:rsid w:val="00481113"/>
    <w:rsid w:val="00482543"/>
    <w:rsid w:val="004828AA"/>
    <w:rsid w:val="0048359C"/>
    <w:rsid w:val="00485E79"/>
    <w:rsid w:val="00487B50"/>
    <w:rsid w:val="0049183C"/>
    <w:rsid w:val="0049273B"/>
    <w:rsid w:val="00492A18"/>
    <w:rsid w:val="004A1F92"/>
    <w:rsid w:val="004A2E9E"/>
    <w:rsid w:val="004A30C0"/>
    <w:rsid w:val="004A3FFF"/>
    <w:rsid w:val="004A4661"/>
    <w:rsid w:val="004A59FB"/>
    <w:rsid w:val="004A5A8B"/>
    <w:rsid w:val="004A620B"/>
    <w:rsid w:val="004B1E27"/>
    <w:rsid w:val="004B28E9"/>
    <w:rsid w:val="004B2D6E"/>
    <w:rsid w:val="004B4E0C"/>
    <w:rsid w:val="004B5E40"/>
    <w:rsid w:val="004B66DB"/>
    <w:rsid w:val="004B6852"/>
    <w:rsid w:val="004C0A36"/>
    <w:rsid w:val="004C3F19"/>
    <w:rsid w:val="004C4C58"/>
    <w:rsid w:val="004C5A76"/>
    <w:rsid w:val="004C7243"/>
    <w:rsid w:val="004C753A"/>
    <w:rsid w:val="004C7A7B"/>
    <w:rsid w:val="004D3FA8"/>
    <w:rsid w:val="004D43CF"/>
    <w:rsid w:val="004D6813"/>
    <w:rsid w:val="004D6EE5"/>
    <w:rsid w:val="004D76B9"/>
    <w:rsid w:val="004D7727"/>
    <w:rsid w:val="004D7977"/>
    <w:rsid w:val="004E0B8D"/>
    <w:rsid w:val="004E2C36"/>
    <w:rsid w:val="004E3C46"/>
    <w:rsid w:val="004F0320"/>
    <w:rsid w:val="004F0654"/>
    <w:rsid w:val="004F1260"/>
    <w:rsid w:val="004F255A"/>
    <w:rsid w:val="00500E2F"/>
    <w:rsid w:val="00501FD3"/>
    <w:rsid w:val="005028E4"/>
    <w:rsid w:val="00502B5B"/>
    <w:rsid w:val="00503ABE"/>
    <w:rsid w:val="00503CF7"/>
    <w:rsid w:val="005048EE"/>
    <w:rsid w:val="00504DB6"/>
    <w:rsid w:val="005062CE"/>
    <w:rsid w:val="00507645"/>
    <w:rsid w:val="00510616"/>
    <w:rsid w:val="00510A94"/>
    <w:rsid w:val="005121F5"/>
    <w:rsid w:val="0051335C"/>
    <w:rsid w:val="0051341B"/>
    <w:rsid w:val="0051429C"/>
    <w:rsid w:val="0051506E"/>
    <w:rsid w:val="005154FE"/>
    <w:rsid w:val="0051650C"/>
    <w:rsid w:val="00516690"/>
    <w:rsid w:val="00517093"/>
    <w:rsid w:val="00520208"/>
    <w:rsid w:val="00520BF5"/>
    <w:rsid w:val="0052147C"/>
    <w:rsid w:val="00521F39"/>
    <w:rsid w:val="005226B7"/>
    <w:rsid w:val="0052530D"/>
    <w:rsid w:val="005335AC"/>
    <w:rsid w:val="00534A0C"/>
    <w:rsid w:val="005368AA"/>
    <w:rsid w:val="0053782D"/>
    <w:rsid w:val="0054085F"/>
    <w:rsid w:val="00540B77"/>
    <w:rsid w:val="00541133"/>
    <w:rsid w:val="00547382"/>
    <w:rsid w:val="0054790B"/>
    <w:rsid w:val="00551479"/>
    <w:rsid w:val="00552610"/>
    <w:rsid w:val="0055662F"/>
    <w:rsid w:val="005567B3"/>
    <w:rsid w:val="00560273"/>
    <w:rsid w:val="00561471"/>
    <w:rsid w:val="00563E2D"/>
    <w:rsid w:val="005710B7"/>
    <w:rsid w:val="00572F38"/>
    <w:rsid w:val="00573D9D"/>
    <w:rsid w:val="0057647B"/>
    <w:rsid w:val="00577763"/>
    <w:rsid w:val="005805D1"/>
    <w:rsid w:val="00583DA1"/>
    <w:rsid w:val="00584590"/>
    <w:rsid w:val="00586627"/>
    <w:rsid w:val="0059018D"/>
    <w:rsid w:val="00590D9C"/>
    <w:rsid w:val="00590E36"/>
    <w:rsid w:val="00590F13"/>
    <w:rsid w:val="00593811"/>
    <w:rsid w:val="00595724"/>
    <w:rsid w:val="005A092F"/>
    <w:rsid w:val="005A0DFC"/>
    <w:rsid w:val="005A6808"/>
    <w:rsid w:val="005A758B"/>
    <w:rsid w:val="005B047E"/>
    <w:rsid w:val="005B2BFD"/>
    <w:rsid w:val="005B49AE"/>
    <w:rsid w:val="005B4BAD"/>
    <w:rsid w:val="005B58E9"/>
    <w:rsid w:val="005B5D10"/>
    <w:rsid w:val="005B7E50"/>
    <w:rsid w:val="005C1CC5"/>
    <w:rsid w:val="005C3DD2"/>
    <w:rsid w:val="005D02BB"/>
    <w:rsid w:val="005D200C"/>
    <w:rsid w:val="005D354A"/>
    <w:rsid w:val="005D5368"/>
    <w:rsid w:val="005E1468"/>
    <w:rsid w:val="005E2624"/>
    <w:rsid w:val="005E3DFB"/>
    <w:rsid w:val="005F03FB"/>
    <w:rsid w:val="005F066C"/>
    <w:rsid w:val="005F401F"/>
    <w:rsid w:val="005F4FEE"/>
    <w:rsid w:val="005F62DC"/>
    <w:rsid w:val="005F7EC2"/>
    <w:rsid w:val="00600531"/>
    <w:rsid w:val="00602315"/>
    <w:rsid w:val="00602A45"/>
    <w:rsid w:val="0060403B"/>
    <w:rsid w:val="0060404B"/>
    <w:rsid w:val="006103EE"/>
    <w:rsid w:val="00614E54"/>
    <w:rsid w:val="00615406"/>
    <w:rsid w:val="006161C5"/>
    <w:rsid w:val="006252B3"/>
    <w:rsid w:val="0062582D"/>
    <w:rsid w:val="00625C55"/>
    <w:rsid w:val="006279EC"/>
    <w:rsid w:val="00630B72"/>
    <w:rsid w:val="00631403"/>
    <w:rsid w:val="00632B4B"/>
    <w:rsid w:val="00632C94"/>
    <w:rsid w:val="0063555E"/>
    <w:rsid w:val="00640B7C"/>
    <w:rsid w:val="006444FD"/>
    <w:rsid w:val="00644B26"/>
    <w:rsid w:val="00646384"/>
    <w:rsid w:val="00647388"/>
    <w:rsid w:val="00651DC6"/>
    <w:rsid w:val="0065343B"/>
    <w:rsid w:val="0065396B"/>
    <w:rsid w:val="00653AEE"/>
    <w:rsid w:val="00654B9E"/>
    <w:rsid w:val="00654EF1"/>
    <w:rsid w:val="0066273B"/>
    <w:rsid w:val="00662EA3"/>
    <w:rsid w:val="00664927"/>
    <w:rsid w:val="00665525"/>
    <w:rsid w:val="00665572"/>
    <w:rsid w:val="00665B79"/>
    <w:rsid w:val="0067146C"/>
    <w:rsid w:val="00672B19"/>
    <w:rsid w:val="006738A8"/>
    <w:rsid w:val="006824A1"/>
    <w:rsid w:val="006857A1"/>
    <w:rsid w:val="00685EEF"/>
    <w:rsid w:val="006920CF"/>
    <w:rsid w:val="00692DB8"/>
    <w:rsid w:val="00693795"/>
    <w:rsid w:val="006939C6"/>
    <w:rsid w:val="00695AE7"/>
    <w:rsid w:val="006A00D4"/>
    <w:rsid w:val="006A06DA"/>
    <w:rsid w:val="006A1510"/>
    <w:rsid w:val="006A1AF4"/>
    <w:rsid w:val="006A73C0"/>
    <w:rsid w:val="006A79B6"/>
    <w:rsid w:val="006A7C9C"/>
    <w:rsid w:val="006B1CC1"/>
    <w:rsid w:val="006B3897"/>
    <w:rsid w:val="006B7588"/>
    <w:rsid w:val="006C011F"/>
    <w:rsid w:val="006C1420"/>
    <w:rsid w:val="006C2274"/>
    <w:rsid w:val="006C274F"/>
    <w:rsid w:val="006C369B"/>
    <w:rsid w:val="006C4D27"/>
    <w:rsid w:val="006C53C4"/>
    <w:rsid w:val="006C6DE7"/>
    <w:rsid w:val="006D196F"/>
    <w:rsid w:val="006D2DDF"/>
    <w:rsid w:val="006D2F34"/>
    <w:rsid w:val="006D454F"/>
    <w:rsid w:val="006E128F"/>
    <w:rsid w:val="006E31CF"/>
    <w:rsid w:val="006F5C07"/>
    <w:rsid w:val="006F6B5B"/>
    <w:rsid w:val="006F7A3E"/>
    <w:rsid w:val="00701052"/>
    <w:rsid w:val="007025F6"/>
    <w:rsid w:val="0070334C"/>
    <w:rsid w:val="00703D15"/>
    <w:rsid w:val="00704E72"/>
    <w:rsid w:val="00705288"/>
    <w:rsid w:val="007067CE"/>
    <w:rsid w:val="00711E36"/>
    <w:rsid w:val="0071603B"/>
    <w:rsid w:val="00721047"/>
    <w:rsid w:val="00722358"/>
    <w:rsid w:val="007225A0"/>
    <w:rsid w:val="00722787"/>
    <w:rsid w:val="00722FF3"/>
    <w:rsid w:val="007251FE"/>
    <w:rsid w:val="007254E2"/>
    <w:rsid w:val="0072589D"/>
    <w:rsid w:val="007323FF"/>
    <w:rsid w:val="00734516"/>
    <w:rsid w:val="0073563C"/>
    <w:rsid w:val="00736DE9"/>
    <w:rsid w:val="00741147"/>
    <w:rsid w:val="007427E7"/>
    <w:rsid w:val="007434D5"/>
    <w:rsid w:val="0075656B"/>
    <w:rsid w:val="0076237E"/>
    <w:rsid w:val="00764184"/>
    <w:rsid w:val="00770508"/>
    <w:rsid w:val="00770ACC"/>
    <w:rsid w:val="00771B27"/>
    <w:rsid w:val="00773F58"/>
    <w:rsid w:val="0077470E"/>
    <w:rsid w:val="0078011A"/>
    <w:rsid w:val="00780781"/>
    <w:rsid w:val="00781188"/>
    <w:rsid w:val="00781991"/>
    <w:rsid w:val="00790938"/>
    <w:rsid w:val="007917C2"/>
    <w:rsid w:val="007930D8"/>
    <w:rsid w:val="007944B1"/>
    <w:rsid w:val="00794753"/>
    <w:rsid w:val="00796FE7"/>
    <w:rsid w:val="007973E3"/>
    <w:rsid w:val="007A12E2"/>
    <w:rsid w:val="007A176F"/>
    <w:rsid w:val="007A1A47"/>
    <w:rsid w:val="007A2074"/>
    <w:rsid w:val="007A2428"/>
    <w:rsid w:val="007A4A3C"/>
    <w:rsid w:val="007A6F54"/>
    <w:rsid w:val="007B1DD2"/>
    <w:rsid w:val="007B2842"/>
    <w:rsid w:val="007B3124"/>
    <w:rsid w:val="007B4D87"/>
    <w:rsid w:val="007B6B38"/>
    <w:rsid w:val="007C2933"/>
    <w:rsid w:val="007C3D0B"/>
    <w:rsid w:val="007C5360"/>
    <w:rsid w:val="007C5F92"/>
    <w:rsid w:val="007C5FF6"/>
    <w:rsid w:val="007D1261"/>
    <w:rsid w:val="007D1946"/>
    <w:rsid w:val="007D1B61"/>
    <w:rsid w:val="007D46BD"/>
    <w:rsid w:val="007D6637"/>
    <w:rsid w:val="007D7BA9"/>
    <w:rsid w:val="007D7F58"/>
    <w:rsid w:val="007E126A"/>
    <w:rsid w:val="007E1578"/>
    <w:rsid w:val="007E18F8"/>
    <w:rsid w:val="007E3606"/>
    <w:rsid w:val="007E398F"/>
    <w:rsid w:val="007E49B5"/>
    <w:rsid w:val="007E755D"/>
    <w:rsid w:val="007F1215"/>
    <w:rsid w:val="007F14AE"/>
    <w:rsid w:val="007F1B5D"/>
    <w:rsid w:val="007F299C"/>
    <w:rsid w:val="007F484D"/>
    <w:rsid w:val="007F7100"/>
    <w:rsid w:val="007F73B7"/>
    <w:rsid w:val="008017DF"/>
    <w:rsid w:val="00802E2D"/>
    <w:rsid w:val="00802E7A"/>
    <w:rsid w:val="008032D2"/>
    <w:rsid w:val="00804A57"/>
    <w:rsid w:val="00804CE6"/>
    <w:rsid w:val="00811060"/>
    <w:rsid w:val="00811488"/>
    <w:rsid w:val="0081179E"/>
    <w:rsid w:val="0081373F"/>
    <w:rsid w:val="00814A1B"/>
    <w:rsid w:val="008169AF"/>
    <w:rsid w:val="0082283F"/>
    <w:rsid w:val="0082413D"/>
    <w:rsid w:val="0082687D"/>
    <w:rsid w:val="008307DB"/>
    <w:rsid w:val="00830A63"/>
    <w:rsid w:val="00831E4F"/>
    <w:rsid w:val="008324C3"/>
    <w:rsid w:val="008329B9"/>
    <w:rsid w:val="008413DC"/>
    <w:rsid w:val="008419B2"/>
    <w:rsid w:val="00841ECD"/>
    <w:rsid w:val="00842CE8"/>
    <w:rsid w:val="00843A43"/>
    <w:rsid w:val="008459C0"/>
    <w:rsid w:val="00850587"/>
    <w:rsid w:val="00852CD5"/>
    <w:rsid w:val="008546AF"/>
    <w:rsid w:val="008602A1"/>
    <w:rsid w:val="0086093E"/>
    <w:rsid w:val="00861E5F"/>
    <w:rsid w:val="008624AA"/>
    <w:rsid w:val="008732B5"/>
    <w:rsid w:val="00873D9A"/>
    <w:rsid w:val="00874931"/>
    <w:rsid w:val="00876044"/>
    <w:rsid w:val="00876F7C"/>
    <w:rsid w:val="00881778"/>
    <w:rsid w:val="00885586"/>
    <w:rsid w:val="00886004"/>
    <w:rsid w:val="00886BE3"/>
    <w:rsid w:val="00887056"/>
    <w:rsid w:val="008875A3"/>
    <w:rsid w:val="008967B8"/>
    <w:rsid w:val="00896E15"/>
    <w:rsid w:val="008971E6"/>
    <w:rsid w:val="00897525"/>
    <w:rsid w:val="00897E2F"/>
    <w:rsid w:val="008A0309"/>
    <w:rsid w:val="008A1E3B"/>
    <w:rsid w:val="008A55DA"/>
    <w:rsid w:val="008A6250"/>
    <w:rsid w:val="008A64BE"/>
    <w:rsid w:val="008B0030"/>
    <w:rsid w:val="008B2C14"/>
    <w:rsid w:val="008B6717"/>
    <w:rsid w:val="008B76F4"/>
    <w:rsid w:val="008B791D"/>
    <w:rsid w:val="008C0EB0"/>
    <w:rsid w:val="008C4B05"/>
    <w:rsid w:val="008C609C"/>
    <w:rsid w:val="008C7E7A"/>
    <w:rsid w:val="008D0378"/>
    <w:rsid w:val="008D078E"/>
    <w:rsid w:val="008D0DEE"/>
    <w:rsid w:val="008D47F0"/>
    <w:rsid w:val="008D488A"/>
    <w:rsid w:val="008D4A5C"/>
    <w:rsid w:val="008D56DA"/>
    <w:rsid w:val="008D5BE9"/>
    <w:rsid w:val="008D71B5"/>
    <w:rsid w:val="008E15B9"/>
    <w:rsid w:val="008E34B5"/>
    <w:rsid w:val="008E59DF"/>
    <w:rsid w:val="008F1359"/>
    <w:rsid w:val="008F2B22"/>
    <w:rsid w:val="008F46DD"/>
    <w:rsid w:val="008F5105"/>
    <w:rsid w:val="00900CB5"/>
    <w:rsid w:val="00901D2A"/>
    <w:rsid w:val="00902574"/>
    <w:rsid w:val="00903E29"/>
    <w:rsid w:val="00904876"/>
    <w:rsid w:val="0091085F"/>
    <w:rsid w:val="00912DA9"/>
    <w:rsid w:val="00914BB0"/>
    <w:rsid w:val="009151D8"/>
    <w:rsid w:val="00915EE4"/>
    <w:rsid w:val="00916AB3"/>
    <w:rsid w:val="00917031"/>
    <w:rsid w:val="009205C4"/>
    <w:rsid w:val="00922BBE"/>
    <w:rsid w:val="009232BB"/>
    <w:rsid w:val="00923FA3"/>
    <w:rsid w:val="00926700"/>
    <w:rsid w:val="00927B2A"/>
    <w:rsid w:val="00930199"/>
    <w:rsid w:val="0093136A"/>
    <w:rsid w:val="00931452"/>
    <w:rsid w:val="0093156A"/>
    <w:rsid w:val="009339F6"/>
    <w:rsid w:val="00935AB2"/>
    <w:rsid w:val="00935D4D"/>
    <w:rsid w:val="009367C8"/>
    <w:rsid w:val="00941D29"/>
    <w:rsid w:val="00952C2E"/>
    <w:rsid w:val="00954934"/>
    <w:rsid w:val="0095757C"/>
    <w:rsid w:val="00957928"/>
    <w:rsid w:val="00962C56"/>
    <w:rsid w:val="00965DA8"/>
    <w:rsid w:val="00966F04"/>
    <w:rsid w:val="009706E4"/>
    <w:rsid w:val="0097473C"/>
    <w:rsid w:val="0097565A"/>
    <w:rsid w:val="0097632B"/>
    <w:rsid w:val="009765FE"/>
    <w:rsid w:val="009802E7"/>
    <w:rsid w:val="0098228A"/>
    <w:rsid w:val="00983A13"/>
    <w:rsid w:val="00987733"/>
    <w:rsid w:val="00990D8F"/>
    <w:rsid w:val="00990DB3"/>
    <w:rsid w:val="00991504"/>
    <w:rsid w:val="009915CA"/>
    <w:rsid w:val="0099274F"/>
    <w:rsid w:val="009965E6"/>
    <w:rsid w:val="009A1E7E"/>
    <w:rsid w:val="009A2828"/>
    <w:rsid w:val="009A3910"/>
    <w:rsid w:val="009A3EF2"/>
    <w:rsid w:val="009A55C6"/>
    <w:rsid w:val="009A569F"/>
    <w:rsid w:val="009A5A03"/>
    <w:rsid w:val="009A5F4B"/>
    <w:rsid w:val="009B0545"/>
    <w:rsid w:val="009B30AF"/>
    <w:rsid w:val="009B448D"/>
    <w:rsid w:val="009B5EEC"/>
    <w:rsid w:val="009C7C63"/>
    <w:rsid w:val="009D4224"/>
    <w:rsid w:val="009D5B94"/>
    <w:rsid w:val="009D5FB0"/>
    <w:rsid w:val="009D6FB6"/>
    <w:rsid w:val="009D72CE"/>
    <w:rsid w:val="009D7FBD"/>
    <w:rsid w:val="009E0C35"/>
    <w:rsid w:val="009E1EF8"/>
    <w:rsid w:val="009E2D52"/>
    <w:rsid w:val="009E3601"/>
    <w:rsid w:val="009E5EBB"/>
    <w:rsid w:val="009E6A8F"/>
    <w:rsid w:val="009E6D96"/>
    <w:rsid w:val="009E7797"/>
    <w:rsid w:val="009E7A1C"/>
    <w:rsid w:val="009E7BE3"/>
    <w:rsid w:val="009E7E1C"/>
    <w:rsid w:val="009F0BA8"/>
    <w:rsid w:val="009F442F"/>
    <w:rsid w:val="009F6782"/>
    <w:rsid w:val="009F6A5B"/>
    <w:rsid w:val="009F7468"/>
    <w:rsid w:val="00A00F60"/>
    <w:rsid w:val="00A00FEC"/>
    <w:rsid w:val="00A01166"/>
    <w:rsid w:val="00A017BE"/>
    <w:rsid w:val="00A06FA4"/>
    <w:rsid w:val="00A07098"/>
    <w:rsid w:val="00A10B2F"/>
    <w:rsid w:val="00A12A19"/>
    <w:rsid w:val="00A15812"/>
    <w:rsid w:val="00A16F70"/>
    <w:rsid w:val="00A179A8"/>
    <w:rsid w:val="00A20669"/>
    <w:rsid w:val="00A22A48"/>
    <w:rsid w:val="00A31941"/>
    <w:rsid w:val="00A31C88"/>
    <w:rsid w:val="00A3459B"/>
    <w:rsid w:val="00A35083"/>
    <w:rsid w:val="00A36B16"/>
    <w:rsid w:val="00A4037A"/>
    <w:rsid w:val="00A413B9"/>
    <w:rsid w:val="00A4415F"/>
    <w:rsid w:val="00A44227"/>
    <w:rsid w:val="00A45B57"/>
    <w:rsid w:val="00A473A6"/>
    <w:rsid w:val="00A5134C"/>
    <w:rsid w:val="00A5186C"/>
    <w:rsid w:val="00A5284F"/>
    <w:rsid w:val="00A55389"/>
    <w:rsid w:val="00A605FB"/>
    <w:rsid w:val="00A617D8"/>
    <w:rsid w:val="00A62C90"/>
    <w:rsid w:val="00A70124"/>
    <w:rsid w:val="00A70451"/>
    <w:rsid w:val="00A70B23"/>
    <w:rsid w:val="00A734B6"/>
    <w:rsid w:val="00A735B3"/>
    <w:rsid w:val="00A7417D"/>
    <w:rsid w:val="00A75FA5"/>
    <w:rsid w:val="00A80A8A"/>
    <w:rsid w:val="00A81342"/>
    <w:rsid w:val="00A8241C"/>
    <w:rsid w:val="00A84E78"/>
    <w:rsid w:val="00A868D5"/>
    <w:rsid w:val="00A8764C"/>
    <w:rsid w:val="00A919B2"/>
    <w:rsid w:val="00A92B7D"/>
    <w:rsid w:val="00A9452C"/>
    <w:rsid w:val="00A94E96"/>
    <w:rsid w:val="00A97214"/>
    <w:rsid w:val="00A9727B"/>
    <w:rsid w:val="00A976FA"/>
    <w:rsid w:val="00AA03D0"/>
    <w:rsid w:val="00AA0F01"/>
    <w:rsid w:val="00AA1476"/>
    <w:rsid w:val="00AA15A2"/>
    <w:rsid w:val="00AA3C67"/>
    <w:rsid w:val="00AA7B2D"/>
    <w:rsid w:val="00AB00DA"/>
    <w:rsid w:val="00AB1F40"/>
    <w:rsid w:val="00AB207B"/>
    <w:rsid w:val="00AB3CF9"/>
    <w:rsid w:val="00AB5601"/>
    <w:rsid w:val="00AB69DE"/>
    <w:rsid w:val="00AB757C"/>
    <w:rsid w:val="00AB7C31"/>
    <w:rsid w:val="00AC1077"/>
    <w:rsid w:val="00AC156C"/>
    <w:rsid w:val="00AC3963"/>
    <w:rsid w:val="00AC4798"/>
    <w:rsid w:val="00AC5566"/>
    <w:rsid w:val="00AC61F5"/>
    <w:rsid w:val="00AC62C9"/>
    <w:rsid w:val="00AD1627"/>
    <w:rsid w:val="00AD1BDD"/>
    <w:rsid w:val="00AD2D0D"/>
    <w:rsid w:val="00AD3CCA"/>
    <w:rsid w:val="00AD4AD7"/>
    <w:rsid w:val="00AD4B81"/>
    <w:rsid w:val="00AD5936"/>
    <w:rsid w:val="00AD706F"/>
    <w:rsid w:val="00AE42B3"/>
    <w:rsid w:val="00AE5F08"/>
    <w:rsid w:val="00AE7599"/>
    <w:rsid w:val="00AF0BE9"/>
    <w:rsid w:val="00AF15C5"/>
    <w:rsid w:val="00AF1FB7"/>
    <w:rsid w:val="00AF2726"/>
    <w:rsid w:val="00AF4185"/>
    <w:rsid w:val="00B016F5"/>
    <w:rsid w:val="00B029C3"/>
    <w:rsid w:val="00B031D5"/>
    <w:rsid w:val="00B03A13"/>
    <w:rsid w:val="00B0421B"/>
    <w:rsid w:val="00B06EE0"/>
    <w:rsid w:val="00B0709C"/>
    <w:rsid w:val="00B10426"/>
    <w:rsid w:val="00B1097A"/>
    <w:rsid w:val="00B15D0C"/>
    <w:rsid w:val="00B16CA4"/>
    <w:rsid w:val="00B21358"/>
    <w:rsid w:val="00B21CC2"/>
    <w:rsid w:val="00B220CD"/>
    <w:rsid w:val="00B2400A"/>
    <w:rsid w:val="00B24378"/>
    <w:rsid w:val="00B243A0"/>
    <w:rsid w:val="00B247FF"/>
    <w:rsid w:val="00B25107"/>
    <w:rsid w:val="00B25BF1"/>
    <w:rsid w:val="00B26BF1"/>
    <w:rsid w:val="00B27766"/>
    <w:rsid w:val="00B32135"/>
    <w:rsid w:val="00B33758"/>
    <w:rsid w:val="00B34DD8"/>
    <w:rsid w:val="00B34FEE"/>
    <w:rsid w:val="00B3512C"/>
    <w:rsid w:val="00B36B07"/>
    <w:rsid w:val="00B36B5A"/>
    <w:rsid w:val="00B37533"/>
    <w:rsid w:val="00B37C45"/>
    <w:rsid w:val="00B41057"/>
    <w:rsid w:val="00B445ED"/>
    <w:rsid w:val="00B44606"/>
    <w:rsid w:val="00B447F6"/>
    <w:rsid w:val="00B458B4"/>
    <w:rsid w:val="00B517E0"/>
    <w:rsid w:val="00B553C1"/>
    <w:rsid w:val="00B56DC6"/>
    <w:rsid w:val="00B57695"/>
    <w:rsid w:val="00B57F7D"/>
    <w:rsid w:val="00B618FC"/>
    <w:rsid w:val="00B62084"/>
    <w:rsid w:val="00B62A00"/>
    <w:rsid w:val="00B6366A"/>
    <w:rsid w:val="00B66931"/>
    <w:rsid w:val="00B66A5A"/>
    <w:rsid w:val="00B66E3D"/>
    <w:rsid w:val="00B67EFB"/>
    <w:rsid w:val="00B704FE"/>
    <w:rsid w:val="00B70B19"/>
    <w:rsid w:val="00B70E9E"/>
    <w:rsid w:val="00B71B5E"/>
    <w:rsid w:val="00B75B78"/>
    <w:rsid w:val="00B7778E"/>
    <w:rsid w:val="00B81CCC"/>
    <w:rsid w:val="00B81EA9"/>
    <w:rsid w:val="00B837B2"/>
    <w:rsid w:val="00B838FF"/>
    <w:rsid w:val="00B84AE3"/>
    <w:rsid w:val="00B86FAD"/>
    <w:rsid w:val="00B86FD3"/>
    <w:rsid w:val="00B903CA"/>
    <w:rsid w:val="00B93FB4"/>
    <w:rsid w:val="00BA16A2"/>
    <w:rsid w:val="00BA21A8"/>
    <w:rsid w:val="00BA3F84"/>
    <w:rsid w:val="00BA51C0"/>
    <w:rsid w:val="00BB2793"/>
    <w:rsid w:val="00BB3EEA"/>
    <w:rsid w:val="00BB41D1"/>
    <w:rsid w:val="00BB57A1"/>
    <w:rsid w:val="00BB721C"/>
    <w:rsid w:val="00BC2251"/>
    <w:rsid w:val="00BC3810"/>
    <w:rsid w:val="00BC4C51"/>
    <w:rsid w:val="00BC4DCA"/>
    <w:rsid w:val="00BC63A1"/>
    <w:rsid w:val="00BD01AE"/>
    <w:rsid w:val="00BD182E"/>
    <w:rsid w:val="00BD3B55"/>
    <w:rsid w:val="00BD751A"/>
    <w:rsid w:val="00BD7CD6"/>
    <w:rsid w:val="00BE0D2B"/>
    <w:rsid w:val="00BE3A8F"/>
    <w:rsid w:val="00BE51F2"/>
    <w:rsid w:val="00BE5F2F"/>
    <w:rsid w:val="00BE75AB"/>
    <w:rsid w:val="00BE75B4"/>
    <w:rsid w:val="00BE7772"/>
    <w:rsid w:val="00BF0306"/>
    <w:rsid w:val="00BF1211"/>
    <w:rsid w:val="00BF2355"/>
    <w:rsid w:val="00BF3135"/>
    <w:rsid w:val="00BF3B21"/>
    <w:rsid w:val="00BF54D9"/>
    <w:rsid w:val="00C00DBD"/>
    <w:rsid w:val="00C010CD"/>
    <w:rsid w:val="00C01AD5"/>
    <w:rsid w:val="00C0252E"/>
    <w:rsid w:val="00C025ED"/>
    <w:rsid w:val="00C06A85"/>
    <w:rsid w:val="00C06ED5"/>
    <w:rsid w:val="00C11B3A"/>
    <w:rsid w:val="00C11B9B"/>
    <w:rsid w:val="00C11E6D"/>
    <w:rsid w:val="00C1205D"/>
    <w:rsid w:val="00C14562"/>
    <w:rsid w:val="00C14C71"/>
    <w:rsid w:val="00C2078E"/>
    <w:rsid w:val="00C20D2A"/>
    <w:rsid w:val="00C243F1"/>
    <w:rsid w:val="00C24EBC"/>
    <w:rsid w:val="00C26536"/>
    <w:rsid w:val="00C322D9"/>
    <w:rsid w:val="00C32853"/>
    <w:rsid w:val="00C36A37"/>
    <w:rsid w:val="00C408B0"/>
    <w:rsid w:val="00C4223A"/>
    <w:rsid w:val="00C45B0E"/>
    <w:rsid w:val="00C51890"/>
    <w:rsid w:val="00C52051"/>
    <w:rsid w:val="00C53861"/>
    <w:rsid w:val="00C53C25"/>
    <w:rsid w:val="00C55A93"/>
    <w:rsid w:val="00C605E7"/>
    <w:rsid w:val="00C63479"/>
    <w:rsid w:val="00C64302"/>
    <w:rsid w:val="00C654F8"/>
    <w:rsid w:val="00C6684A"/>
    <w:rsid w:val="00C66FA5"/>
    <w:rsid w:val="00C6765D"/>
    <w:rsid w:val="00C67B08"/>
    <w:rsid w:val="00C70122"/>
    <w:rsid w:val="00C7172B"/>
    <w:rsid w:val="00C727C0"/>
    <w:rsid w:val="00C73510"/>
    <w:rsid w:val="00C74240"/>
    <w:rsid w:val="00C753C7"/>
    <w:rsid w:val="00C75B30"/>
    <w:rsid w:val="00C803F9"/>
    <w:rsid w:val="00C8132C"/>
    <w:rsid w:val="00C81EBD"/>
    <w:rsid w:val="00C83B6C"/>
    <w:rsid w:val="00C8591D"/>
    <w:rsid w:val="00C85E3B"/>
    <w:rsid w:val="00C879BB"/>
    <w:rsid w:val="00C908DC"/>
    <w:rsid w:val="00C91827"/>
    <w:rsid w:val="00C9326F"/>
    <w:rsid w:val="00C943F9"/>
    <w:rsid w:val="00CA0E9E"/>
    <w:rsid w:val="00CA5B7E"/>
    <w:rsid w:val="00CA609A"/>
    <w:rsid w:val="00CA6C71"/>
    <w:rsid w:val="00CA7400"/>
    <w:rsid w:val="00CB4163"/>
    <w:rsid w:val="00CB4418"/>
    <w:rsid w:val="00CB53F6"/>
    <w:rsid w:val="00CB57FF"/>
    <w:rsid w:val="00CB5946"/>
    <w:rsid w:val="00CB5A7C"/>
    <w:rsid w:val="00CC7F7C"/>
    <w:rsid w:val="00CD177F"/>
    <w:rsid w:val="00CD400E"/>
    <w:rsid w:val="00CD46B1"/>
    <w:rsid w:val="00CD6FB3"/>
    <w:rsid w:val="00CD772C"/>
    <w:rsid w:val="00CE4C22"/>
    <w:rsid w:val="00CE5D3D"/>
    <w:rsid w:val="00CE6BF7"/>
    <w:rsid w:val="00CF0ECD"/>
    <w:rsid w:val="00CF2827"/>
    <w:rsid w:val="00CF34D2"/>
    <w:rsid w:val="00CF455B"/>
    <w:rsid w:val="00CF4D85"/>
    <w:rsid w:val="00CF5645"/>
    <w:rsid w:val="00CF5C84"/>
    <w:rsid w:val="00D11109"/>
    <w:rsid w:val="00D13EAA"/>
    <w:rsid w:val="00D2054E"/>
    <w:rsid w:val="00D2189D"/>
    <w:rsid w:val="00D21C61"/>
    <w:rsid w:val="00D239ED"/>
    <w:rsid w:val="00D23C36"/>
    <w:rsid w:val="00D26F2A"/>
    <w:rsid w:val="00D318EB"/>
    <w:rsid w:val="00D32781"/>
    <w:rsid w:val="00D34584"/>
    <w:rsid w:val="00D359EF"/>
    <w:rsid w:val="00D35DC4"/>
    <w:rsid w:val="00D42253"/>
    <w:rsid w:val="00D422CC"/>
    <w:rsid w:val="00D45B4C"/>
    <w:rsid w:val="00D47637"/>
    <w:rsid w:val="00D50754"/>
    <w:rsid w:val="00D50778"/>
    <w:rsid w:val="00D50EBB"/>
    <w:rsid w:val="00D516BF"/>
    <w:rsid w:val="00D5340A"/>
    <w:rsid w:val="00D561FF"/>
    <w:rsid w:val="00D56AEC"/>
    <w:rsid w:val="00D574A7"/>
    <w:rsid w:val="00D612DA"/>
    <w:rsid w:val="00D61977"/>
    <w:rsid w:val="00D61A9A"/>
    <w:rsid w:val="00D627BF"/>
    <w:rsid w:val="00D634D8"/>
    <w:rsid w:val="00D6529A"/>
    <w:rsid w:val="00D6589C"/>
    <w:rsid w:val="00D7059D"/>
    <w:rsid w:val="00D7225E"/>
    <w:rsid w:val="00D72A98"/>
    <w:rsid w:val="00D74B90"/>
    <w:rsid w:val="00D779F3"/>
    <w:rsid w:val="00D77F2C"/>
    <w:rsid w:val="00D812A8"/>
    <w:rsid w:val="00D85D5D"/>
    <w:rsid w:val="00D86293"/>
    <w:rsid w:val="00D87F3E"/>
    <w:rsid w:val="00D92743"/>
    <w:rsid w:val="00D93A15"/>
    <w:rsid w:val="00D9464D"/>
    <w:rsid w:val="00D95F82"/>
    <w:rsid w:val="00D96119"/>
    <w:rsid w:val="00D96737"/>
    <w:rsid w:val="00D9714F"/>
    <w:rsid w:val="00D9722D"/>
    <w:rsid w:val="00D977FD"/>
    <w:rsid w:val="00D97DE2"/>
    <w:rsid w:val="00DA0974"/>
    <w:rsid w:val="00DA1D50"/>
    <w:rsid w:val="00DA2BAF"/>
    <w:rsid w:val="00DA2C57"/>
    <w:rsid w:val="00DA61D7"/>
    <w:rsid w:val="00DA71C0"/>
    <w:rsid w:val="00DB14D1"/>
    <w:rsid w:val="00DB3131"/>
    <w:rsid w:val="00DB3465"/>
    <w:rsid w:val="00DB5B7B"/>
    <w:rsid w:val="00DC06F0"/>
    <w:rsid w:val="00DC1426"/>
    <w:rsid w:val="00DC3C15"/>
    <w:rsid w:val="00DC3F33"/>
    <w:rsid w:val="00DC4C55"/>
    <w:rsid w:val="00DC7679"/>
    <w:rsid w:val="00DD03E9"/>
    <w:rsid w:val="00DD293F"/>
    <w:rsid w:val="00DD3F83"/>
    <w:rsid w:val="00DD3F9C"/>
    <w:rsid w:val="00DD5BA7"/>
    <w:rsid w:val="00DD688C"/>
    <w:rsid w:val="00DD7ACB"/>
    <w:rsid w:val="00DD7B2C"/>
    <w:rsid w:val="00DE0073"/>
    <w:rsid w:val="00DE0FE2"/>
    <w:rsid w:val="00DE201F"/>
    <w:rsid w:val="00DE2BC9"/>
    <w:rsid w:val="00DE50F5"/>
    <w:rsid w:val="00DF23B1"/>
    <w:rsid w:val="00DF3C01"/>
    <w:rsid w:val="00DF5148"/>
    <w:rsid w:val="00DF6614"/>
    <w:rsid w:val="00DF7755"/>
    <w:rsid w:val="00E0001C"/>
    <w:rsid w:val="00E024FE"/>
    <w:rsid w:val="00E025D4"/>
    <w:rsid w:val="00E02C7C"/>
    <w:rsid w:val="00E02E1D"/>
    <w:rsid w:val="00E030A1"/>
    <w:rsid w:val="00E052B8"/>
    <w:rsid w:val="00E078E0"/>
    <w:rsid w:val="00E1302B"/>
    <w:rsid w:val="00E14DF9"/>
    <w:rsid w:val="00E16B04"/>
    <w:rsid w:val="00E16B4C"/>
    <w:rsid w:val="00E20263"/>
    <w:rsid w:val="00E20FB9"/>
    <w:rsid w:val="00E210AC"/>
    <w:rsid w:val="00E2238E"/>
    <w:rsid w:val="00E231A1"/>
    <w:rsid w:val="00E2358A"/>
    <w:rsid w:val="00E23946"/>
    <w:rsid w:val="00E27A6F"/>
    <w:rsid w:val="00E341B9"/>
    <w:rsid w:val="00E35E70"/>
    <w:rsid w:val="00E35F55"/>
    <w:rsid w:val="00E36391"/>
    <w:rsid w:val="00E36A97"/>
    <w:rsid w:val="00E40FD3"/>
    <w:rsid w:val="00E427C4"/>
    <w:rsid w:val="00E47EF6"/>
    <w:rsid w:val="00E52428"/>
    <w:rsid w:val="00E52798"/>
    <w:rsid w:val="00E570C4"/>
    <w:rsid w:val="00E57F70"/>
    <w:rsid w:val="00E63A31"/>
    <w:rsid w:val="00E6634A"/>
    <w:rsid w:val="00E66358"/>
    <w:rsid w:val="00E706BB"/>
    <w:rsid w:val="00E71668"/>
    <w:rsid w:val="00E72608"/>
    <w:rsid w:val="00E73AEB"/>
    <w:rsid w:val="00E76232"/>
    <w:rsid w:val="00E76BC0"/>
    <w:rsid w:val="00E77087"/>
    <w:rsid w:val="00E77755"/>
    <w:rsid w:val="00E845C3"/>
    <w:rsid w:val="00E85BA3"/>
    <w:rsid w:val="00E877C6"/>
    <w:rsid w:val="00E9037B"/>
    <w:rsid w:val="00E910D4"/>
    <w:rsid w:val="00E917FC"/>
    <w:rsid w:val="00E931D2"/>
    <w:rsid w:val="00E946C8"/>
    <w:rsid w:val="00E953B8"/>
    <w:rsid w:val="00E95B9F"/>
    <w:rsid w:val="00E95D8E"/>
    <w:rsid w:val="00E95FB3"/>
    <w:rsid w:val="00E97AD9"/>
    <w:rsid w:val="00EA38D9"/>
    <w:rsid w:val="00EA4574"/>
    <w:rsid w:val="00EA53EF"/>
    <w:rsid w:val="00EA76FB"/>
    <w:rsid w:val="00EB2FA7"/>
    <w:rsid w:val="00EB3134"/>
    <w:rsid w:val="00EB38FD"/>
    <w:rsid w:val="00EB3B95"/>
    <w:rsid w:val="00EB3C1B"/>
    <w:rsid w:val="00EB4FA6"/>
    <w:rsid w:val="00EB6AA3"/>
    <w:rsid w:val="00EB7061"/>
    <w:rsid w:val="00EC2182"/>
    <w:rsid w:val="00EC411E"/>
    <w:rsid w:val="00EC454B"/>
    <w:rsid w:val="00EC4D2A"/>
    <w:rsid w:val="00ED0ABF"/>
    <w:rsid w:val="00ED2E35"/>
    <w:rsid w:val="00ED396F"/>
    <w:rsid w:val="00ED4254"/>
    <w:rsid w:val="00ED5BC3"/>
    <w:rsid w:val="00ED5DCC"/>
    <w:rsid w:val="00ED6F71"/>
    <w:rsid w:val="00ED73D3"/>
    <w:rsid w:val="00EE001B"/>
    <w:rsid w:val="00EE1C9B"/>
    <w:rsid w:val="00EE2D25"/>
    <w:rsid w:val="00EF157C"/>
    <w:rsid w:val="00EF64B7"/>
    <w:rsid w:val="00F03267"/>
    <w:rsid w:val="00F0344A"/>
    <w:rsid w:val="00F05AE5"/>
    <w:rsid w:val="00F07EBE"/>
    <w:rsid w:val="00F12F6C"/>
    <w:rsid w:val="00F22287"/>
    <w:rsid w:val="00F22F90"/>
    <w:rsid w:val="00F22FCB"/>
    <w:rsid w:val="00F24BA2"/>
    <w:rsid w:val="00F30809"/>
    <w:rsid w:val="00F30D5A"/>
    <w:rsid w:val="00F316FC"/>
    <w:rsid w:val="00F32B6E"/>
    <w:rsid w:val="00F3403B"/>
    <w:rsid w:val="00F369FE"/>
    <w:rsid w:val="00F377F0"/>
    <w:rsid w:val="00F42899"/>
    <w:rsid w:val="00F43E6B"/>
    <w:rsid w:val="00F44C0B"/>
    <w:rsid w:val="00F45C59"/>
    <w:rsid w:val="00F51EB3"/>
    <w:rsid w:val="00F54273"/>
    <w:rsid w:val="00F561DB"/>
    <w:rsid w:val="00F60304"/>
    <w:rsid w:val="00F63781"/>
    <w:rsid w:val="00F63877"/>
    <w:rsid w:val="00F63E0D"/>
    <w:rsid w:val="00F66CE3"/>
    <w:rsid w:val="00F70B9C"/>
    <w:rsid w:val="00F70F28"/>
    <w:rsid w:val="00F725DD"/>
    <w:rsid w:val="00F73998"/>
    <w:rsid w:val="00F74343"/>
    <w:rsid w:val="00F749A5"/>
    <w:rsid w:val="00F760B3"/>
    <w:rsid w:val="00F804C7"/>
    <w:rsid w:val="00F81CFD"/>
    <w:rsid w:val="00F853BE"/>
    <w:rsid w:val="00F86C64"/>
    <w:rsid w:val="00F86FD6"/>
    <w:rsid w:val="00F908DE"/>
    <w:rsid w:val="00F94E72"/>
    <w:rsid w:val="00F97FC5"/>
    <w:rsid w:val="00FA3EE1"/>
    <w:rsid w:val="00FA4D8E"/>
    <w:rsid w:val="00FA5284"/>
    <w:rsid w:val="00FA58DB"/>
    <w:rsid w:val="00FA6965"/>
    <w:rsid w:val="00FB14F3"/>
    <w:rsid w:val="00FB3841"/>
    <w:rsid w:val="00FB4014"/>
    <w:rsid w:val="00FB7757"/>
    <w:rsid w:val="00FC1267"/>
    <w:rsid w:val="00FC1B98"/>
    <w:rsid w:val="00FC2A74"/>
    <w:rsid w:val="00FC43D4"/>
    <w:rsid w:val="00FD0BA8"/>
    <w:rsid w:val="00FD3077"/>
    <w:rsid w:val="00FD3911"/>
    <w:rsid w:val="00FD5296"/>
    <w:rsid w:val="00FD5E33"/>
    <w:rsid w:val="00FD642C"/>
    <w:rsid w:val="00FD7207"/>
    <w:rsid w:val="00FE0A2C"/>
    <w:rsid w:val="00FE3434"/>
    <w:rsid w:val="00FE5900"/>
    <w:rsid w:val="00FE6EB8"/>
    <w:rsid w:val="00FE718C"/>
    <w:rsid w:val="00FE7313"/>
    <w:rsid w:val="00FF1701"/>
    <w:rsid w:val="00FF539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C0F"/>
  <w15:docId w15:val="{6E93F5D3-3D39-41AC-BF0D-50176635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10"/>
    <w:rPr>
      <w:rFonts w:ascii="Calibri" w:eastAsia="Times New Roman" w:hAnsi="Calibri" w:cs="Calibri"/>
    </w:rPr>
  </w:style>
  <w:style w:type="paragraph" w:styleId="Naslov1">
    <w:name w:val="heading 1"/>
    <w:basedOn w:val="Normal"/>
    <w:next w:val="Normal"/>
    <w:link w:val="Naslov1Char"/>
    <w:rsid w:val="00BC3810"/>
    <w:pPr>
      <w:widowControl w:val="0"/>
      <w:spacing w:before="480" w:after="120"/>
      <w:outlineLvl w:val="0"/>
    </w:pPr>
    <w:rPr>
      <w:rFonts w:eastAsia="Calibri"/>
      <w:b/>
      <w:color w:val="000000"/>
      <w:sz w:val="48"/>
      <w:lang w:eastAsia="hr-HR"/>
    </w:rPr>
  </w:style>
  <w:style w:type="paragraph" w:styleId="Naslov2">
    <w:name w:val="heading 2"/>
    <w:basedOn w:val="Normal"/>
    <w:next w:val="Normal"/>
    <w:link w:val="Naslov2Char"/>
    <w:rsid w:val="00BC3810"/>
    <w:pPr>
      <w:widowControl w:val="0"/>
      <w:spacing w:before="360" w:after="80"/>
      <w:outlineLvl w:val="1"/>
    </w:pPr>
    <w:rPr>
      <w:rFonts w:eastAsia="Calibri"/>
      <w:b/>
      <w:color w:val="000000"/>
      <w:sz w:val="36"/>
      <w:lang w:eastAsia="hr-HR"/>
    </w:rPr>
  </w:style>
  <w:style w:type="paragraph" w:styleId="Naslov3">
    <w:name w:val="heading 3"/>
    <w:basedOn w:val="Normal"/>
    <w:next w:val="Normal"/>
    <w:link w:val="Naslov3Char"/>
    <w:rsid w:val="00BC3810"/>
    <w:pPr>
      <w:widowControl w:val="0"/>
      <w:spacing w:before="280" w:after="80"/>
      <w:outlineLvl w:val="2"/>
    </w:pPr>
    <w:rPr>
      <w:rFonts w:eastAsia="Calibri"/>
      <w:b/>
      <w:color w:val="000000"/>
      <w:sz w:val="28"/>
      <w:lang w:eastAsia="hr-HR"/>
    </w:rPr>
  </w:style>
  <w:style w:type="paragraph" w:styleId="Naslov4">
    <w:name w:val="heading 4"/>
    <w:basedOn w:val="Normal"/>
    <w:next w:val="Normal"/>
    <w:link w:val="Naslov4Char"/>
    <w:rsid w:val="00BC3810"/>
    <w:pPr>
      <w:widowControl w:val="0"/>
      <w:spacing w:before="240" w:after="40"/>
      <w:outlineLvl w:val="3"/>
    </w:pPr>
    <w:rPr>
      <w:rFonts w:eastAsia="Calibri"/>
      <w:b/>
      <w:color w:val="000000"/>
      <w:sz w:val="24"/>
      <w:lang w:eastAsia="hr-HR"/>
    </w:rPr>
  </w:style>
  <w:style w:type="paragraph" w:styleId="Naslov5">
    <w:name w:val="heading 5"/>
    <w:basedOn w:val="Normal"/>
    <w:next w:val="Normal"/>
    <w:link w:val="Naslov5Char"/>
    <w:rsid w:val="00BC3810"/>
    <w:pPr>
      <w:widowControl w:val="0"/>
      <w:spacing w:before="220" w:after="40"/>
      <w:outlineLvl w:val="4"/>
    </w:pPr>
    <w:rPr>
      <w:rFonts w:eastAsia="Calibri"/>
      <w:b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rsid w:val="00BC3810"/>
    <w:pPr>
      <w:widowControl w:val="0"/>
      <w:spacing w:before="200" w:after="40"/>
      <w:outlineLvl w:val="5"/>
    </w:pPr>
    <w:rPr>
      <w:rFonts w:eastAsia="Calibri"/>
      <w:b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810"/>
    <w:rPr>
      <w:rFonts w:ascii="Calibri" w:eastAsia="Calibri" w:hAnsi="Calibri" w:cs="Calibri"/>
      <w:b/>
      <w:color w:val="000000"/>
      <w:sz w:val="48"/>
      <w:lang w:eastAsia="hr-HR"/>
    </w:rPr>
  </w:style>
  <w:style w:type="character" w:customStyle="1" w:styleId="Naslov2Char">
    <w:name w:val="Naslov 2 Char"/>
    <w:basedOn w:val="Zadanifontodlomka"/>
    <w:link w:val="Naslov2"/>
    <w:rsid w:val="00BC3810"/>
    <w:rPr>
      <w:rFonts w:ascii="Calibri" w:eastAsia="Calibri" w:hAnsi="Calibri" w:cs="Calibri"/>
      <w:b/>
      <w:color w:val="000000"/>
      <w:sz w:val="36"/>
      <w:lang w:eastAsia="hr-HR"/>
    </w:rPr>
  </w:style>
  <w:style w:type="character" w:customStyle="1" w:styleId="Naslov3Char">
    <w:name w:val="Naslov 3 Char"/>
    <w:basedOn w:val="Zadanifontodlomka"/>
    <w:link w:val="Naslov3"/>
    <w:rsid w:val="00BC3810"/>
    <w:rPr>
      <w:rFonts w:ascii="Calibri" w:eastAsia="Calibri" w:hAnsi="Calibri" w:cs="Calibri"/>
      <w:b/>
      <w:color w:val="000000"/>
      <w:sz w:val="28"/>
      <w:lang w:eastAsia="hr-HR"/>
    </w:rPr>
  </w:style>
  <w:style w:type="character" w:customStyle="1" w:styleId="Naslov4Char">
    <w:name w:val="Naslov 4 Char"/>
    <w:basedOn w:val="Zadanifontodlomka"/>
    <w:link w:val="Naslov4"/>
    <w:rsid w:val="00BC3810"/>
    <w:rPr>
      <w:rFonts w:ascii="Calibri" w:eastAsia="Calibri" w:hAnsi="Calibri" w:cs="Calibri"/>
      <w:b/>
      <w:color w:val="000000"/>
      <w:sz w:val="24"/>
      <w:lang w:eastAsia="hr-HR"/>
    </w:rPr>
  </w:style>
  <w:style w:type="character" w:customStyle="1" w:styleId="Naslov5Char">
    <w:name w:val="Naslov 5 Char"/>
    <w:basedOn w:val="Zadanifontodlomka"/>
    <w:link w:val="Naslov5"/>
    <w:rsid w:val="00BC3810"/>
    <w:rPr>
      <w:rFonts w:ascii="Calibri" w:eastAsia="Calibri" w:hAnsi="Calibri" w:cs="Calibri"/>
      <w:b/>
      <w:color w:val="000000"/>
      <w:lang w:eastAsia="hr-HR"/>
    </w:rPr>
  </w:style>
  <w:style w:type="character" w:customStyle="1" w:styleId="Naslov6Char">
    <w:name w:val="Naslov 6 Char"/>
    <w:basedOn w:val="Zadanifontodlomka"/>
    <w:link w:val="Naslov6"/>
    <w:rsid w:val="00BC3810"/>
    <w:rPr>
      <w:rFonts w:ascii="Calibri" w:eastAsia="Calibri" w:hAnsi="Calibri" w:cs="Calibri"/>
      <w:b/>
      <w:color w:val="000000"/>
      <w:sz w:val="20"/>
      <w:lang w:eastAsia="hr-HR"/>
    </w:rPr>
  </w:style>
  <w:style w:type="paragraph" w:styleId="Zaglavlje">
    <w:name w:val="header"/>
    <w:basedOn w:val="Normal"/>
    <w:link w:val="Zaglavl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81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810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34"/>
    <w:qFormat/>
    <w:rsid w:val="00BC38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BC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C38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381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Brojstranice">
    <w:name w:val="page number"/>
    <w:basedOn w:val="Zadanifontodlomka"/>
    <w:uiPriority w:val="99"/>
    <w:rsid w:val="00BC3810"/>
  </w:style>
  <w:style w:type="character" w:customStyle="1" w:styleId="NaslovChar">
    <w:name w:val="Naslov Char"/>
    <w:link w:val="Naslov"/>
    <w:locked/>
    <w:rsid w:val="00BC3810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C381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paragraph" w:styleId="Podnaslov">
    <w:name w:val="Subtitle"/>
    <w:basedOn w:val="Normal"/>
    <w:next w:val="Normal"/>
    <w:link w:val="PodnaslovChar"/>
    <w:qFormat/>
    <w:rsid w:val="00BC3810"/>
    <w:pPr>
      <w:spacing w:after="60" w:line="48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BC3810"/>
    <w:rPr>
      <w:rFonts w:ascii="Cambria" w:eastAsia="Times New Roman" w:hAnsi="Cambria" w:cs="Times New Roman"/>
      <w:sz w:val="24"/>
      <w:szCs w:val="24"/>
    </w:rPr>
  </w:style>
  <w:style w:type="character" w:customStyle="1" w:styleId="NaslovChar1">
    <w:name w:val="Naslov Char1"/>
    <w:basedOn w:val="Zadanifontodlomka"/>
    <w:rsid w:val="00BC3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33">
    <w:name w:val="Font Style33"/>
    <w:basedOn w:val="Zadanifontodlomka"/>
    <w:uiPriority w:val="99"/>
    <w:rsid w:val="00BC38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108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9">
    <w:name w:val="Style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432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566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398" w:lineRule="exact"/>
      <w:ind w:firstLine="73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6" w:lineRule="exact"/>
      <w:ind w:hanging="998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3">
    <w:name w:val="Style2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4">
    <w:name w:val="Style2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rsid w:val="00BC38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Zadanifontodlomka"/>
    <w:uiPriority w:val="99"/>
    <w:rsid w:val="00BC381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Zadanifontodlomka"/>
    <w:uiPriority w:val="99"/>
    <w:rsid w:val="00BC381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Zadanifontodlomka"/>
    <w:uiPriority w:val="99"/>
    <w:rsid w:val="00BC3810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0">
    <w:name w:val="Font Style30"/>
    <w:basedOn w:val="Zadanifontodlomka"/>
    <w:uiPriority w:val="99"/>
    <w:rsid w:val="00BC38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Zadanifontodlomka"/>
    <w:uiPriority w:val="99"/>
    <w:rsid w:val="00BC381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Zadanifontodlomka"/>
    <w:uiPriority w:val="99"/>
    <w:rsid w:val="00BC381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Zadanifontodlomka"/>
    <w:uiPriority w:val="99"/>
    <w:rsid w:val="00BC3810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381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BC3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3810"/>
    <w:pPr>
      <w:widowControl w:val="0"/>
      <w:spacing w:line="240" w:lineRule="auto"/>
    </w:pPr>
    <w:rPr>
      <w:rFonts w:eastAsia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3810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C3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C3810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customStyle="1" w:styleId="default0">
    <w:name w:val="default"/>
    <w:basedOn w:val="Normal"/>
    <w:rsid w:val="00BC3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BC38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rsid w:val="00BC3810"/>
    <w:pPr>
      <w:suppressAutoHyphens/>
      <w:ind w:left="720"/>
    </w:pPr>
    <w:rPr>
      <w:rFonts w:eastAsia="Calibri"/>
      <w:lang w:eastAsia="ar-SA"/>
    </w:rPr>
  </w:style>
  <w:style w:type="paragraph" w:styleId="Bezproreda">
    <w:name w:val="No Spacing"/>
    <w:uiPriority w:val="1"/>
    <w:qFormat/>
    <w:rsid w:val="00BC38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dlomakpopisa1">
    <w:name w:val="Odlomak popisa1"/>
    <w:basedOn w:val="Normal"/>
    <w:rsid w:val="00BC381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BC3810"/>
    <w:pPr>
      <w:tabs>
        <w:tab w:val="left" w:pos="709"/>
        <w:tab w:val="right" w:pos="9072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BC3810"/>
    <w:rPr>
      <w:rFonts w:ascii="Arial" w:eastAsia="Times New Roman" w:hAnsi="Arial" w:cs="Times New Roman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C3810"/>
    <w:pPr>
      <w:tabs>
        <w:tab w:val="left" w:pos="709"/>
        <w:tab w:val="right" w:pos="9072"/>
      </w:tabs>
      <w:spacing w:after="0" w:line="240" w:lineRule="auto"/>
      <w:ind w:left="720" w:hanging="720"/>
      <w:jc w:val="both"/>
    </w:pPr>
    <w:rPr>
      <w:rFonts w:ascii="Arial" w:hAnsi="Arial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BC3810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1E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A5A8B"/>
    <w:rPr>
      <w:color w:val="954F72"/>
      <w:u w:val="single"/>
    </w:rPr>
  </w:style>
  <w:style w:type="paragraph" w:customStyle="1" w:styleId="msonormal0">
    <w:name w:val="msonormal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A5A8B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4A5A8B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4A5A8B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4F126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4F1260"/>
    <w:pP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4F1260"/>
    <w:pP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4F1260"/>
    <w:pP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4F1260"/>
    <w:pP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85">
    <w:name w:val="xl85"/>
    <w:basedOn w:val="Normal"/>
    <w:rsid w:val="004F1260"/>
    <w:pP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4F1260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2">
    <w:name w:val="xl92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4">
    <w:name w:val="xl9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7">
    <w:name w:val="xl97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B75B7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B75B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3">
    <w:name w:val="xl103"/>
    <w:basedOn w:val="Normal"/>
    <w:rsid w:val="00B75B7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7">
    <w:name w:val="xl10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9">
    <w:name w:val="xl109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B75B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  <w:lang w:eastAsia="hr-HR"/>
    </w:rPr>
  </w:style>
  <w:style w:type="paragraph" w:customStyle="1" w:styleId="xl114">
    <w:name w:val="xl114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B75B7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B75B7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9">
    <w:name w:val="xl129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0">
    <w:name w:val="xl130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1">
    <w:name w:val="xl131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B75B7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B75B7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B75B7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B75B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B75B7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1">
    <w:name w:val="xl141"/>
    <w:basedOn w:val="Normal"/>
    <w:rsid w:val="00B75B7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B75B7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63">
    <w:name w:val="xl63"/>
    <w:basedOn w:val="Normal"/>
    <w:rsid w:val="00BD18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4">
    <w:name w:val="xl64"/>
    <w:basedOn w:val="Normal"/>
    <w:rsid w:val="00BD182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BD18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16"/>
      <w:szCs w:val="16"/>
      <w:lang w:eastAsia="hr-HR"/>
    </w:rPr>
  </w:style>
  <w:style w:type="character" w:styleId="Istaknuto">
    <w:name w:val="Emphasis"/>
    <w:uiPriority w:val="20"/>
    <w:qFormat/>
    <w:rsid w:val="00722358"/>
    <w:rPr>
      <w:b/>
      <w:bCs/>
      <w:i w:val="0"/>
      <w:iCs w:val="0"/>
    </w:rPr>
  </w:style>
  <w:style w:type="character" w:customStyle="1" w:styleId="st1">
    <w:name w:val="st1"/>
    <w:rsid w:val="00722358"/>
  </w:style>
  <w:style w:type="character" w:styleId="Naglaeno">
    <w:name w:val="Strong"/>
    <w:uiPriority w:val="22"/>
    <w:qFormat/>
    <w:rsid w:val="0072235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22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reetkatablice">
    <w:name w:val="Grid Table Light"/>
    <w:basedOn w:val="Obinatablica"/>
    <w:uiPriority w:val="40"/>
    <w:rsid w:val="002A15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DA1D50"/>
    <w:pPr>
      <w:widowControl w:val="0"/>
      <w:autoSpaceDE w:val="0"/>
      <w:autoSpaceDN w:val="0"/>
      <w:spacing w:after="0" w:line="240" w:lineRule="auto"/>
      <w:jc w:val="right"/>
    </w:pPr>
    <w:rPr>
      <w:rFonts w:ascii="Arial MT" w:eastAsia="Arial MT" w:hAnsi="Arial MT" w:cs="Arial MT"/>
      <w:lang w:val="bs"/>
    </w:rPr>
  </w:style>
  <w:style w:type="paragraph" w:styleId="StandardWeb">
    <w:name w:val="Normal (Web)"/>
    <w:basedOn w:val="Normal"/>
    <w:uiPriority w:val="99"/>
    <w:unhideWhenUsed/>
    <w:rsid w:val="00CE5D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C715-6247-4C4E-8567-3427FDB1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20522</Words>
  <Characters>116981</Characters>
  <Application>Microsoft Office Word</Application>
  <DocSecurity>0</DocSecurity>
  <Lines>974</Lines>
  <Paragraphs>274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</dc:creator>
  <cp:keywords/>
  <dc:description/>
  <cp:lastModifiedBy>Ivana Burić</cp:lastModifiedBy>
  <cp:revision>4</cp:revision>
  <cp:lastPrinted>2025-09-09T10:24:00Z</cp:lastPrinted>
  <dcterms:created xsi:type="dcterms:W3CDTF">2025-09-16T11:52:00Z</dcterms:created>
  <dcterms:modified xsi:type="dcterms:W3CDTF">2025-09-17T11:47:00Z</dcterms:modified>
</cp:coreProperties>
</file>