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f2e40504d4b5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8457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TRNOVITIČKI POPOVAC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648.064,61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741.067,15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649.099,50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789.979,02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1.034,89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48.911,87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4726,3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6.419,36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13.482,22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6.419,36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7.032,22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7.454,25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55.944,09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750,5</w:t>
            </w:r>
          </w:p>
        </w:tc>
      </w:tr>
    </w:tbl>
    <w:p>
      <w:pPr>
        <w:spacing w:before="0" w:after="0"/>
      </w:pPr>
    </w:p>
    <w:p>
      <w:r>
        <w:t xml:space="preserve">U obrascu PR-RAS iskazani su:</w:t>
      </w:r>
    </w:p>
    <w:p>
      <w:r>
        <w:t xml:space="preserve">ukupni prihodi poslovanja (šifra 6)741.067,15</w:t>
      </w:r>
      <w:r>
        <w:br/>
      </w:r>
      <w:r>
        <w:t xml:space="preserve">ukupni rashodi poslovanja (šifra 3)789.979,02</w:t>
      </w:r>
      <w:r>
        <w:br/>
      </w:r>
      <w:r>
        <w:t xml:space="preserve">manjak prihoda poslovanja (šifra Y001)48.911,87</w:t>
      </w:r>
      <w:r>
        <w:br/>
      </w:r>
      <w:r>
        <w:t xml:space="preserve">ukupni prihodi od prodaje nefinancijske imovine (šifra 7)6.450,00</w:t>
      </w:r>
      <w:r>
        <w:br/>
      </w:r>
      <w:r>
        <w:t xml:space="preserve">ukupni rashodi za nabavu nefinancijske imovine (šifra 4)13.482,22</w:t>
      </w:r>
      <w:r>
        <w:br/>
      </w:r>
      <w:r>
        <w:t xml:space="preserve">manjak prihoda od nefinancijske imovine (šifra Y002)7.032,22</w:t>
      </w:r>
      <w:r>
        <w:br/>
      </w:r>
      <w:r>
        <w:t xml:space="preserve">ukupni primici od financijske imovine i zaduživanja (šifra 8)0,00</w:t>
      </w:r>
      <w:r>
        <w:br/>
      </w:r>
      <w:r>
        <w:t xml:space="preserve">ukupni izdaci za financijsku imovinu i otplate zajmova (šifra 5)0,00</w:t>
      </w:r>
      <w:r>
        <w:br/>
      </w:r>
      <w:r>
        <w:t xml:space="preserve">višak/manjak primitaka od financijske imovine i zaduživanja (šifra X003 i Y003)0,00</w:t>
      </w:r>
      <w:r>
        <w:br/>
      </w:r>
      <w:r>
        <w:t xml:space="preserve">MANJAK PRIHODA I PRIMITAKA (šifra Y005)  55.944,09</w:t>
      </w:r>
    </w:p>
    <w:p>
      <w:r>
        <w:t xml:space="preserve">Iskazivanje rashoda prvenstveno odnosi na plaće školskih ustanova budući da su novim </w:t>
      </w:r>
      <w:r>
        <w:br/>
      </w:r>
      <w:r>
        <w:t xml:space="preserve">Pravilnikom o računovodstvu ukinuti kontinuirani rashodi na podskupini 193. Plaća i </w:t>
      </w:r>
      <w:r>
        <w:br/>
      </w:r>
      <w:r>
        <w:t xml:space="preserve">materijalna prava zaposlenika evidentiraju se za svaki mjesec sa posljednjim danom mjeseca, </w:t>
      </w:r>
      <w:r>
        <w:br/>
      </w:r>
      <w:r>
        <w:t xml:space="preserve">za siječanj 2025. sa 31.12.2025., za veljaču 2025 sa 28.2.2025., za ožujak 2025. sa 31.3.2025. </w:t>
      </w:r>
      <w:r>
        <w:br/>
      </w:r>
      <w:r>
        <w:t xml:space="preserve">… a plaća za prosinac 2025. sa 31.12.2025. godine.  </w:t>
      </w:r>
      <w:r>
        <w:br/>
      </w:r>
      <w:r>
        <w:t xml:space="preserve">Školske ustanove u 2025. godini trebaju imati evidentiranih 13 rashoda place, a 12 </w:t>
      </w:r>
      <w:r>
        <w:br/>
      </w:r>
      <w:r>
        <w:t xml:space="preserve">prihoda iz Državnog proračuna. Temeljem toga iskazan je manjak prihoda na 92221 po </w:t>
      </w:r>
      <w:r>
        <w:br/>
      </w:r>
      <w:r>
        <w:t xml:space="preserve">izvoru financiranja IF 5 pomoći iz Državnog proračuna – MZO.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48.911,87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4726,3</w:t>
            </w:r>
          </w:p>
        </w:tc>
      </w:tr>
    </w:tbl>
    <w:p>
      <w:pPr>
        <w:spacing w:before="0" w:after="0"/>
      </w:pPr>
    </w:p>
    <w:p>
      <w:r>
        <w:t xml:space="preserve">Iskazivanje rashoda prvenstveno odnosi na plaće školskih ustanova budući da su novim </w:t>
      </w:r>
      <w:r>
        <w:br/>
      </w:r>
      <w:r>
        <w:t xml:space="preserve">Pravilnikom o računovodstvu ukinuti kontinuirani rashodi na podskupini 193. Plaća i </w:t>
      </w:r>
      <w:r>
        <w:br/>
      </w:r>
      <w:r>
        <w:t xml:space="preserve">materijalna prava zaposlenika evidentiraju se za svaki mjesec sa posljednjim danom mjeseca, </w:t>
      </w:r>
      <w:r>
        <w:br/>
      </w:r>
      <w:r>
        <w:t xml:space="preserve">za siječanj 2025. sa 31.12.2025., za veljaču 2025 sa 28.2.2025., za ožujak 2025. sa 31.3.2025. </w:t>
      </w:r>
      <w:r>
        <w:br/>
      </w:r>
      <w:r>
        <w:t xml:space="preserve">… a plaća za prosinac 2025. sa 31.12.2025. godine.  </w:t>
      </w:r>
      <w:r>
        <w:br/>
      </w:r>
      <w:r>
        <w:t xml:space="preserve">Školske ustanove u 2025. godini trebaju imati evidentiranih 13 rashoda place, a 12 </w:t>
      </w:r>
      <w:r>
        <w:br/>
      </w:r>
      <w:r>
        <w:t xml:space="preserve">prihoda iz Državnog proračuna. Temeljem toga iskazati će manjak prihoda na 92221 po </w:t>
      </w:r>
      <w:r>
        <w:br/>
      </w:r>
      <w:r>
        <w:t xml:space="preserve">izvoru financiranja IF 5 pomoći iz Državnog proračuna –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49.754,24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Plaća za prosinac 2025. sa 31.12.2025. godine.  </w:t>
      </w:r>
      <w:r>
        <w:br/>
      </w:r>
      <w:r>
        <w:t xml:space="preserve">Školske ustanove u 2025. godini trebaju imati evidentiranih 13 rashoda place, a 12 </w:t>
      </w:r>
      <w:r>
        <w:br/>
      </w:r>
      <w:r>
        <w:t xml:space="preserve">prihoda iz Državnog proračuna. Temeljem toga iskazati će manjak prihoda na 92221 po </w:t>
      </w:r>
      <w:r>
        <w:br/>
      </w:r>
      <w:r>
        <w:t xml:space="preserve">izvoru financiranja IF 5 pomoći iz Državnog proračuna –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Prodana je stara školska zgrada.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6.419,36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13.482,22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210,0</w:t>
            </w:r>
          </w:p>
        </w:tc>
      </w:tr>
    </w:tbl>
    <w:p>
      <w:pPr>
        <w:spacing w:before="0" w:after="0"/>
      </w:pPr>
    </w:p>
    <w:p>
      <w:r>
        <w:t xml:space="preserve">Kupljeni su traktor, kosilica i trimer, pametna ploča, peć na drva, računalo i printer , udžbenici za 2025/2026 i knjige za školsku knjižnicu.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2.664,46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6.025,03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226,1</w:t>
            </w:r>
          </w:p>
        </w:tc>
      </w:tr>
    </w:tbl>
    <w:p>
      <w:pPr>
        <w:spacing w:before="0" w:after="0"/>
      </w:pPr>
    </w:p>
    <w:p>
      <w:r>
        <w:t xml:space="preserve">Udžbenici za 2025/2026 i knjige za školsku knjižnicu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za besplatnu prehranu su vraćena u MZOM - kuharica je bila na bolovanju.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na kraju izvještajnog razdoblja 31.12.2025. nije imala dospjelih obveza sa 31.12.2025. godine 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Osnovna škola ima djecu sa poteškoćama . Za njih su zaposleni pomoćnici u nastavi. </w:t>
      </w:r>
    </w:p>
    <w:p>
      <w:r>
        <w:t xml:space="preserve">Osnovna škola ima zaposlene pomoćnike ili asistente u nastavi , dio njihovih troškova se plaća iz EU sredstava. </w:t>
      </w:r>
    </w:p>
    <w:p>
      <w:r>
        <w:t xml:space="preserve">Iskazan je manjak za plaću za 12/2025. koja je knjižena sa 31.12.2025. , a isplaćena je u 01. mjesecu 2026. godine 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8f867cf8384c29" /></Relationships>
</file>