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+*xfs*pvs*lsu*cvA*xBj*uCi*voE*Dis*ctk*CcE*pBk*-</w:t>
            </w:r>
            <w:r>
              <w:rPr>
                <w:rFonts w:ascii="PDF417x" w:hAnsi="PDF417x"/>
                <w:sz w:val="24"/>
                <w:szCs w:val="24"/>
              </w:rPr>
              <w:br/>
              <w:t>+*yqw*BjB*Dfy*Afu*xaa*wEv*EDt*ywh*yEf*jus*zew*-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+*eDs*lyd*lyd*lyd*lyd*nwm*DDj*ydu*hBs*trx*zfE*-</w:t>
            </w:r>
            <w:r>
              <w:rPr>
                <w:rFonts w:ascii="PDF417x" w:hAnsi="PDF417x"/>
                <w:sz w:val="24"/>
                <w:szCs w:val="24"/>
              </w:rPr>
              <w:br/>
              <w:t>+*ftw*lvB*jbl*giD*Bnn*lsu*gDE*vmE*Biw*nll*onA*-</w:t>
            </w:r>
            <w:r>
              <w:rPr>
                <w:rFonts w:ascii="PDF417x" w:hAnsi="PDF417x"/>
                <w:sz w:val="24"/>
                <w:szCs w:val="24"/>
              </w:rPr>
              <w:br/>
              <w:t>+*ftA*cjq*yla*zhr*yad*tjb*wok*cyk*iCz*rpy*uws*-</w:t>
            </w:r>
            <w:r>
              <w:rPr>
                <w:rFonts w:ascii="PDF417x" w:hAnsi="PDF417x"/>
                <w:sz w:val="24"/>
                <w:szCs w:val="24"/>
              </w:rPr>
              <w:br/>
              <w:t>+*xjq*ujo*BwF*Aub*lmj*bmk*kyn*Dlg*wnu*gds*uzq*-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5D63EA5D" w14:textId="0D95B4FA" w:rsidR="00922DDC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22E11BD7" w14:textId="1790EA2A" w:rsidR="000B7230" w:rsidRDefault="00C470A5" w:rsidP="000D4399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GRADSKO VIJEĆE</w:t>
      </w:r>
    </w:p>
    <w:p w14:paraId="3379EE20" w14:textId="149CE1C4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402-01/23-01/5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2103-4-01-23-1</w:t>
      </w:r>
    </w:p>
    <w:p w14:paraId="4445648A" w14:textId="4FAE3CF3" w:rsidR="00B92D0F" w:rsidRPr="00B92D0F" w:rsidRDefault="00EA41FA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13.12.2023.</w:t>
      </w:r>
    </w:p>
    <w:p w14:paraId="6288A7D1" w14:textId="618DD05A" w:rsid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6863E58" w14:textId="3A9FB232" w:rsidR="006F2135" w:rsidRDefault="006F2135" w:rsidP="006F2135">
      <w:pPr>
        <w:spacing w:line="276" w:lineRule="auto"/>
        <w:jc w:val="both"/>
        <w:rPr>
          <w:rFonts w:ascii="Calibri" w:eastAsia="Times New Roman" w:hAnsi="Calibri" w:cs="Calibri"/>
          <w:lang w:eastAsia="hr-HR"/>
        </w:rPr>
      </w:pPr>
      <w:r w:rsidRPr="006F2135">
        <w:rPr>
          <w:rFonts w:ascii="Calibri" w:eastAsia="Times New Roman" w:hAnsi="Calibri" w:cs="Calibri"/>
          <w:lang w:eastAsia="hr-HR"/>
        </w:rPr>
        <w:t xml:space="preserve">Na temelju članka 10. stavka 3. Zakona o financiranju političkih aktivnosti, izborne promidžbe i referenduma („Narodne novine“, broj 29/19 i 98/19) i članka 35. Statuta Grada Garešnice („Službeni glasnik Grada Garešnice“, broj 2/21), Gradsko vijeće Grada Garešnice, na svojoj 21. sjednici održanoj dana </w:t>
      </w:r>
      <w:r w:rsidRPr="006F2135">
        <w:rPr>
          <w:rFonts w:ascii="Calibri" w:eastAsia="Times New Roman" w:hAnsi="Calibri" w:cs="Calibri"/>
          <w:lang w:eastAsia="hr-HR"/>
        </w:rPr>
        <w:softHyphen/>
      </w:r>
      <w:r w:rsidRPr="006F2135">
        <w:rPr>
          <w:rFonts w:ascii="Calibri" w:eastAsia="Times New Roman" w:hAnsi="Calibri" w:cs="Calibri"/>
          <w:lang w:eastAsia="hr-HR"/>
        </w:rPr>
        <w:softHyphen/>
      </w:r>
      <w:r w:rsidRPr="006F2135">
        <w:rPr>
          <w:rFonts w:ascii="Calibri" w:eastAsia="Times New Roman" w:hAnsi="Calibri" w:cs="Calibri"/>
          <w:lang w:eastAsia="hr-HR"/>
        </w:rPr>
        <w:softHyphen/>
      </w:r>
      <w:r w:rsidRPr="006F2135">
        <w:rPr>
          <w:rFonts w:ascii="Calibri" w:eastAsia="Times New Roman" w:hAnsi="Calibri" w:cs="Calibri"/>
          <w:lang w:eastAsia="hr-HR"/>
        </w:rPr>
        <w:softHyphen/>
        <w:t>13. prosinca 2023. godine, donijelo je</w:t>
      </w:r>
    </w:p>
    <w:p w14:paraId="1B83FDF6" w14:textId="77777777" w:rsidR="006F2135" w:rsidRPr="006F2135" w:rsidRDefault="006F2135" w:rsidP="006F2135">
      <w:pPr>
        <w:spacing w:line="276" w:lineRule="auto"/>
        <w:jc w:val="both"/>
        <w:rPr>
          <w:rFonts w:ascii="Calibri" w:eastAsia="Times New Roman" w:hAnsi="Calibri" w:cs="Calibri"/>
          <w:lang w:eastAsia="hr-HR"/>
        </w:rPr>
      </w:pPr>
    </w:p>
    <w:p w14:paraId="2712937B" w14:textId="77777777" w:rsidR="006F2135" w:rsidRPr="006F2135" w:rsidRDefault="006F2135" w:rsidP="006F2135">
      <w:pPr>
        <w:spacing w:line="276" w:lineRule="auto"/>
        <w:jc w:val="center"/>
        <w:rPr>
          <w:rFonts w:ascii="Calibri" w:eastAsia="Times New Roman" w:hAnsi="Calibri" w:cs="Calibri"/>
          <w:b/>
          <w:bCs/>
          <w:lang w:eastAsia="hr-HR"/>
        </w:rPr>
      </w:pPr>
      <w:r w:rsidRPr="006F2135">
        <w:rPr>
          <w:rFonts w:ascii="Calibri" w:eastAsia="Times New Roman" w:hAnsi="Calibri" w:cs="Calibri"/>
          <w:b/>
          <w:bCs/>
          <w:lang w:eastAsia="hr-HR"/>
        </w:rPr>
        <w:t>O D L U K U</w:t>
      </w:r>
    </w:p>
    <w:p w14:paraId="0EB0A38A" w14:textId="77777777" w:rsidR="006F2135" w:rsidRPr="006F2135" w:rsidRDefault="006F2135" w:rsidP="006F2135">
      <w:pPr>
        <w:spacing w:line="276" w:lineRule="auto"/>
        <w:jc w:val="center"/>
        <w:rPr>
          <w:rFonts w:ascii="Calibri" w:eastAsia="Times New Roman" w:hAnsi="Calibri" w:cs="Calibri"/>
          <w:b/>
          <w:bCs/>
          <w:lang w:eastAsia="hr-HR"/>
        </w:rPr>
      </w:pPr>
      <w:r w:rsidRPr="006F2135">
        <w:rPr>
          <w:rFonts w:ascii="Calibri" w:eastAsia="Times New Roman" w:hAnsi="Calibri" w:cs="Calibri"/>
          <w:b/>
          <w:bCs/>
          <w:lang w:eastAsia="hr-HR"/>
        </w:rPr>
        <w:t xml:space="preserve">o raspoređivanju sredstava iz Proračuna Grada Garešnice za redovito godišnje financiranje političkih stranaka zastupljenih u Gradskom vijeću </w:t>
      </w:r>
    </w:p>
    <w:p w14:paraId="297E8E0C" w14:textId="77777777" w:rsidR="006F2135" w:rsidRPr="006F2135" w:rsidRDefault="006F2135" w:rsidP="006F2135">
      <w:pPr>
        <w:spacing w:line="276" w:lineRule="auto"/>
        <w:jc w:val="center"/>
        <w:rPr>
          <w:rFonts w:ascii="Calibri" w:eastAsia="Times New Roman" w:hAnsi="Calibri" w:cs="Calibri"/>
          <w:b/>
          <w:bCs/>
          <w:lang w:eastAsia="hr-HR"/>
        </w:rPr>
      </w:pPr>
      <w:r w:rsidRPr="006F2135">
        <w:rPr>
          <w:rFonts w:ascii="Calibri" w:eastAsia="Times New Roman" w:hAnsi="Calibri" w:cs="Calibri"/>
          <w:b/>
          <w:bCs/>
          <w:lang w:eastAsia="hr-HR"/>
        </w:rPr>
        <w:t>Grada Garešnice za 2024. godinu</w:t>
      </w:r>
    </w:p>
    <w:p w14:paraId="771C1C93" w14:textId="77777777" w:rsidR="006F2135" w:rsidRPr="006F2135" w:rsidRDefault="006F2135" w:rsidP="006F2135">
      <w:pPr>
        <w:spacing w:line="276" w:lineRule="auto"/>
        <w:jc w:val="center"/>
        <w:rPr>
          <w:rFonts w:ascii="Calibri" w:eastAsia="Times New Roman" w:hAnsi="Calibri" w:cs="Calibri"/>
          <w:b/>
          <w:bCs/>
          <w:lang w:eastAsia="hr-HR"/>
        </w:rPr>
      </w:pPr>
    </w:p>
    <w:p w14:paraId="0C8138C7" w14:textId="77777777" w:rsidR="006F2135" w:rsidRPr="006F2135" w:rsidRDefault="006F2135" w:rsidP="006F2135">
      <w:pPr>
        <w:spacing w:line="276" w:lineRule="auto"/>
        <w:jc w:val="center"/>
        <w:rPr>
          <w:rFonts w:ascii="Calibri" w:eastAsia="Times New Roman" w:hAnsi="Calibri" w:cs="Calibri"/>
          <w:b/>
          <w:bCs/>
          <w:lang w:eastAsia="hr-HR"/>
        </w:rPr>
      </w:pPr>
    </w:p>
    <w:p w14:paraId="546BEA0E" w14:textId="77777777" w:rsidR="006F2135" w:rsidRPr="006F2135" w:rsidRDefault="006F2135" w:rsidP="006F2135">
      <w:pPr>
        <w:spacing w:line="276" w:lineRule="auto"/>
        <w:jc w:val="center"/>
        <w:rPr>
          <w:rFonts w:ascii="Calibri" w:eastAsia="Times New Roman" w:hAnsi="Calibri" w:cs="Calibri"/>
          <w:b/>
          <w:bCs/>
          <w:lang w:eastAsia="hr-HR"/>
        </w:rPr>
      </w:pPr>
      <w:r w:rsidRPr="006F2135">
        <w:rPr>
          <w:rFonts w:ascii="Calibri" w:eastAsia="Times New Roman" w:hAnsi="Calibri" w:cs="Calibri"/>
          <w:b/>
          <w:bCs/>
          <w:lang w:eastAsia="hr-HR"/>
        </w:rPr>
        <w:t>Članak 1.</w:t>
      </w:r>
    </w:p>
    <w:p w14:paraId="4AFF0B07" w14:textId="77777777" w:rsidR="006F2135" w:rsidRPr="006F2135" w:rsidRDefault="006F2135" w:rsidP="006F2135">
      <w:pPr>
        <w:spacing w:line="276" w:lineRule="auto"/>
        <w:jc w:val="both"/>
        <w:rPr>
          <w:rFonts w:ascii="Calibri" w:eastAsia="Times New Roman" w:hAnsi="Calibri" w:cs="Calibri"/>
          <w:lang w:eastAsia="hr-HR"/>
        </w:rPr>
      </w:pPr>
      <w:r w:rsidRPr="006F2135">
        <w:rPr>
          <w:rFonts w:ascii="Calibri" w:eastAsia="Times New Roman" w:hAnsi="Calibri" w:cs="Calibri"/>
          <w:lang w:eastAsia="hr-HR"/>
        </w:rPr>
        <w:t>Ovom Odlukom utvrđuje se način i postupak raspodjele i isplate sredstava iz Proračuna Grada Garešnice za redovito godišnje financiranje političkih stranaka zastupljenih u Gradskom vijeću Grada Garešnice za 2024. godinu.</w:t>
      </w:r>
    </w:p>
    <w:p w14:paraId="3556F39F" w14:textId="77777777" w:rsidR="006F2135" w:rsidRPr="006F2135" w:rsidRDefault="006F2135" w:rsidP="006F2135">
      <w:pPr>
        <w:spacing w:line="276" w:lineRule="auto"/>
        <w:jc w:val="both"/>
        <w:rPr>
          <w:rFonts w:ascii="Calibri" w:eastAsia="Times New Roman" w:hAnsi="Calibri" w:cs="Calibri"/>
          <w:lang w:eastAsia="hr-HR"/>
        </w:rPr>
      </w:pPr>
    </w:p>
    <w:p w14:paraId="63CCD9B3" w14:textId="77777777" w:rsidR="006F2135" w:rsidRPr="006F2135" w:rsidRDefault="006F2135" w:rsidP="006F2135">
      <w:pPr>
        <w:spacing w:line="276" w:lineRule="auto"/>
        <w:jc w:val="center"/>
        <w:rPr>
          <w:rFonts w:ascii="Calibri" w:eastAsia="Times New Roman" w:hAnsi="Calibri" w:cs="Calibri"/>
          <w:b/>
          <w:bCs/>
          <w:lang w:eastAsia="hr-HR"/>
        </w:rPr>
      </w:pPr>
      <w:r w:rsidRPr="006F2135">
        <w:rPr>
          <w:rFonts w:ascii="Calibri" w:eastAsia="Times New Roman" w:hAnsi="Calibri" w:cs="Calibri"/>
          <w:b/>
          <w:bCs/>
          <w:lang w:eastAsia="hr-HR"/>
        </w:rPr>
        <w:t>Članak 2.</w:t>
      </w:r>
    </w:p>
    <w:p w14:paraId="44C8980C" w14:textId="77777777" w:rsidR="006F2135" w:rsidRPr="006F2135" w:rsidRDefault="006F2135" w:rsidP="006F2135">
      <w:pPr>
        <w:spacing w:line="276" w:lineRule="auto"/>
        <w:jc w:val="both"/>
        <w:rPr>
          <w:rFonts w:ascii="Calibri" w:eastAsia="Times New Roman" w:hAnsi="Calibri" w:cs="Calibri"/>
          <w:color w:val="FF0000"/>
          <w:lang w:eastAsia="hr-HR"/>
        </w:rPr>
      </w:pPr>
      <w:r w:rsidRPr="006F2135">
        <w:rPr>
          <w:rFonts w:ascii="Calibri" w:eastAsia="Times New Roman" w:hAnsi="Calibri" w:cs="Calibri"/>
          <w:lang w:eastAsia="hr-HR"/>
        </w:rPr>
        <w:t>U Proračunu Grada Garešnice za 2024. godinu osigurana su sredstva za rad političkih stranaka  u iznosu od 4.500,00 eura.</w:t>
      </w:r>
    </w:p>
    <w:p w14:paraId="5E7DCD0A" w14:textId="77777777" w:rsidR="006F2135" w:rsidRPr="006F2135" w:rsidRDefault="006F2135" w:rsidP="006F2135">
      <w:pPr>
        <w:spacing w:line="276" w:lineRule="auto"/>
        <w:jc w:val="both"/>
        <w:rPr>
          <w:rFonts w:ascii="Calibri" w:eastAsia="Times New Roman" w:hAnsi="Calibri" w:cs="Calibri"/>
          <w:lang w:eastAsia="hr-HR"/>
        </w:rPr>
      </w:pPr>
    </w:p>
    <w:p w14:paraId="1B2FD9D1" w14:textId="77777777" w:rsidR="006F2135" w:rsidRPr="006F2135" w:rsidRDefault="006F2135" w:rsidP="006F2135">
      <w:pPr>
        <w:spacing w:line="276" w:lineRule="auto"/>
        <w:jc w:val="center"/>
        <w:rPr>
          <w:rFonts w:ascii="Calibri" w:eastAsia="Times New Roman" w:hAnsi="Calibri" w:cs="Calibri"/>
          <w:b/>
          <w:bCs/>
          <w:lang w:eastAsia="hr-HR"/>
        </w:rPr>
      </w:pPr>
      <w:r w:rsidRPr="006F2135">
        <w:rPr>
          <w:rFonts w:ascii="Calibri" w:eastAsia="Times New Roman" w:hAnsi="Calibri" w:cs="Calibri"/>
          <w:b/>
          <w:bCs/>
          <w:lang w:eastAsia="hr-HR"/>
        </w:rPr>
        <w:t>Članak 3.</w:t>
      </w:r>
    </w:p>
    <w:p w14:paraId="15C3F0F5" w14:textId="77777777" w:rsidR="006F2135" w:rsidRPr="006F2135" w:rsidRDefault="006F2135" w:rsidP="006F2135">
      <w:pPr>
        <w:spacing w:line="276" w:lineRule="auto"/>
        <w:jc w:val="both"/>
        <w:rPr>
          <w:rFonts w:ascii="Calibri" w:eastAsia="Times New Roman" w:hAnsi="Calibri" w:cs="Calibri"/>
          <w:lang w:eastAsia="hr-HR"/>
        </w:rPr>
      </w:pPr>
      <w:r w:rsidRPr="006F2135">
        <w:rPr>
          <w:rFonts w:ascii="Calibri" w:eastAsia="Times New Roman" w:hAnsi="Calibri" w:cs="Calibri"/>
          <w:lang w:eastAsia="hr-HR"/>
        </w:rPr>
        <w:t>Sredstva iz članka 2. ove Odluke pripadaju političkim strankama koje su prema konačnim rezultatima dobile mjesto vjećnika u Gradskom vijeću Grada Garešnice.</w:t>
      </w:r>
    </w:p>
    <w:p w14:paraId="18FFAC2A" w14:textId="77777777" w:rsidR="006F2135" w:rsidRPr="006F2135" w:rsidRDefault="006F2135" w:rsidP="006F2135">
      <w:pPr>
        <w:spacing w:line="276" w:lineRule="auto"/>
        <w:jc w:val="both"/>
        <w:rPr>
          <w:rFonts w:ascii="Calibri" w:eastAsia="Times New Roman" w:hAnsi="Calibri" w:cs="Calibri"/>
          <w:lang w:eastAsia="hr-HR"/>
        </w:rPr>
      </w:pPr>
      <w:r w:rsidRPr="006F2135">
        <w:rPr>
          <w:rFonts w:ascii="Calibri" w:eastAsia="Times New Roman" w:hAnsi="Calibri" w:cs="Calibri"/>
          <w:lang w:eastAsia="hr-HR"/>
        </w:rPr>
        <w:t>Za svakog člana Gradskog vijeća utvrđuje se jednaki iznos sredstava, a pojedinoj političkoj stranci pripadaju sredstva razmjerno broju njenih članova Gradskog vijeća prema konačnim rezultatima izbora.</w:t>
      </w:r>
    </w:p>
    <w:p w14:paraId="237C93D6" w14:textId="77777777" w:rsidR="006F2135" w:rsidRPr="006F2135" w:rsidRDefault="006F2135" w:rsidP="006F2135">
      <w:pPr>
        <w:spacing w:line="276" w:lineRule="auto"/>
        <w:jc w:val="both"/>
        <w:rPr>
          <w:rFonts w:ascii="Calibri" w:eastAsia="Times New Roman" w:hAnsi="Calibri" w:cs="Calibri"/>
          <w:lang w:eastAsia="hr-HR"/>
        </w:rPr>
      </w:pPr>
      <w:r w:rsidRPr="006F2135">
        <w:rPr>
          <w:rFonts w:ascii="Calibri" w:eastAsia="Times New Roman" w:hAnsi="Calibri" w:cs="Calibri"/>
          <w:lang w:eastAsia="hr-HR"/>
        </w:rPr>
        <w:t>Za svakog vijećnika Gradskog vijeća podzastupljenog spola političkim strankama pripada i pravo na naknadu u visini od 10% iznosa predviđenog po svakom vijećniku Gradskog vijeća. Podzastupljeni spol u Gradskom vijeću Grada Garešnice je ženski spol.</w:t>
      </w:r>
    </w:p>
    <w:p w14:paraId="7D4044A4" w14:textId="77777777" w:rsidR="006F2135" w:rsidRPr="006F2135" w:rsidRDefault="006F2135" w:rsidP="006F2135">
      <w:pPr>
        <w:spacing w:line="276" w:lineRule="auto"/>
        <w:jc w:val="center"/>
        <w:rPr>
          <w:rFonts w:ascii="Calibri" w:eastAsia="Times New Roman" w:hAnsi="Calibri" w:cs="Calibri"/>
          <w:b/>
          <w:bCs/>
          <w:lang w:eastAsia="hr-HR"/>
        </w:rPr>
      </w:pPr>
    </w:p>
    <w:p w14:paraId="259647DB" w14:textId="77777777" w:rsidR="006F2135" w:rsidRPr="006F2135" w:rsidRDefault="006F2135" w:rsidP="006F2135">
      <w:pPr>
        <w:spacing w:line="276" w:lineRule="auto"/>
        <w:jc w:val="center"/>
        <w:rPr>
          <w:rFonts w:ascii="Calibri" w:eastAsia="Times New Roman" w:hAnsi="Calibri" w:cs="Calibri"/>
          <w:b/>
          <w:bCs/>
          <w:lang w:eastAsia="hr-HR"/>
        </w:rPr>
      </w:pPr>
      <w:r w:rsidRPr="006F2135">
        <w:rPr>
          <w:rFonts w:ascii="Calibri" w:eastAsia="Times New Roman" w:hAnsi="Calibri" w:cs="Calibri"/>
          <w:b/>
          <w:bCs/>
          <w:lang w:eastAsia="hr-HR"/>
        </w:rPr>
        <w:t>Članak 4.</w:t>
      </w:r>
    </w:p>
    <w:p w14:paraId="114F7534" w14:textId="77777777" w:rsidR="006F2135" w:rsidRPr="006F2135" w:rsidRDefault="006F2135" w:rsidP="006F2135">
      <w:pPr>
        <w:spacing w:line="276" w:lineRule="auto"/>
        <w:jc w:val="both"/>
        <w:rPr>
          <w:rFonts w:ascii="Calibri" w:eastAsia="Times New Roman" w:hAnsi="Calibri" w:cs="Calibri"/>
          <w:lang w:eastAsia="hr-HR"/>
        </w:rPr>
      </w:pPr>
      <w:r w:rsidRPr="006F2135">
        <w:rPr>
          <w:rFonts w:ascii="Calibri" w:eastAsia="Times New Roman" w:hAnsi="Calibri" w:cs="Calibri"/>
          <w:lang w:eastAsia="hr-HR"/>
        </w:rPr>
        <w:t>Za svakog vijećnika u Gradskom vijeću Grada Garešnice u 2024. godini utvrđuje se tromjesečni iznos od 66,40 eura.</w:t>
      </w:r>
    </w:p>
    <w:p w14:paraId="304FFACC" w14:textId="77777777" w:rsidR="006F2135" w:rsidRPr="006F2135" w:rsidRDefault="006F2135" w:rsidP="006F2135">
      <w:pPr>
        <w:spacing w:line="276" w:lineRule="auto"/>
        <w:jc w:val="both"/>
        <w:rPr>
          <w:rFonts w:ascii="Calibri" w:eastAsia="Times New Roman" w:hAnsi="Calibri" w:cs="Calibri"/>
          <w:lang w:eastAsia="hr-HR"/>
        </w:rPr>
      </w:pPr>
      <w:r w:rsidRPr="006F2135">
        <w:rPr>
          <w:rFonts w:ascii="Calibri" w:eastAsia="Times New Roman" w:hAnsi="Calibri" w:cs="Calibri"/>
          <w:lang w:eastAsia="hr-HR"/>
        </w:rPr>
        <w:t>Za svakog vijećnika podzastupljenog spola u Gradskom vijeću Grada Garešnice u 2024. godini utvrđuje se tromjesečni iznos od 73,04 eura.</w:t>
      </w:r>
    </w:p>
    <w:p w14:paraId="075532B7" w14:textId="77777777" w:rsidR="006F2135" w:rsidRPr="006F2135" w:rsidRDefault="006F2135" w:rsidP="006F2135">
      <w:pPr>
        <w:spacing w:line="276" w:lineRule="auto"/>
        <w:jc w:val="both"/>
        <w:rPr>
          <w:rFonts w:ascii="Calibri" w:eastAsia="Times New Roman" w:hAnsi="Calibri" w:cs="Calibri"/>
          <w:lang w:eastAsia="hr-HR"/>
        </w:rPr>
      </w:pPr>
    </w:p>
    <w:p w14:paraId="6A873859" w14:textId="77777777" w:rsidR="006F2135" w:rsidRPr="006F2135" w:rsidRDefault="006F2135" w:rsidP="006F2135">
      <w:pPr>
        <w:spacing w:line="276" w:lineRule="auto"/>
        <w:jc w:val="center"/>
        <w:rPr>
          <w:rFonts w:ascii="Calibri" w:eastAsia="Times New Roman" w:hAnsi="Calibri" w:cs="Calibri"/>
          <w:b/>
          <w:bCs/>
          <w:lang w:eastAsia="hr-HR"/>
        </w:rPr>
      </w:pPr>
      <w:r w:rsidRPr="006F2135">
        <w:rPr>
          <w:rFonts w:ascii="Calibri" w:eastAsia="Times New Roman" w:hAnsi="Calibri" w:cs="Calibri"/>
          <w:b/>
          <w:bCs/>
          <w:lang w:eastAsia="hr-HR"/>
        </w:rPr>
        <w:t>Članak 5.</w:t>
      </w:r>
    </w:p>
    <w:p w14:paraId="60898C11" w14:textId="77777777" w:rsidR="006F2135" w:rsidRPr="006F2135" w:rsidRDefault="006F2135" w:rsidP="006F2135">
      <w:pPr>
        <w:spacing w:line="276" w:lineRule="auto"/>
        <w:jc w:val="both"/>
        <w:rPr>
          <w:rFonts w:ascii="Calibri" w:eastAsia="Times New Roman" w:hAnsi="Calibri" w:cs="Calibri"/>
          <w:lang w:eastAsia="hr-HR"/>
        </w:rPr>
      </w:pPr>
      <w:r w:rsidRPr="006F2135">
        <w:rPr>
          <w:rFonts w:ascii="Calibri" w:eastAsia="Times New Roman" w:hAnsi="Calibri" w:cs="Calibri"/>
          <w:lang w:eastAsia="hr-HR"/>
        </w:rPr>
        <w:t xml:space="preserve">U skladu s člankom 2., 3. i 4. ove Odluke, razmjerno broju izabranih vijećnika Gradskog vijeća, političkim strankama raspoređuju se sredstva iz Proračuna Grada Garešnice za 2024. godinu na način kako slijedi: </w:t>
      </w:r>
    </w:p>
    <w:p w14:paraId="17CF4AEF" w14:textId="77777777" w:rsidR="006F2135" w:rsidRPr="006F2135" w:rsidRDefault="006F2135" w:rsidP="006F2135">
      <w:pPr>
        <w:spacing w:line="276" w:lineRule="auto"/>
        <w:jc w:val="both"/>
        <w:rPr>
          <w:rFonts w:ascii="Calibri" w:eastAsia="Times New Roman" w:hAnsi="Calibri" w:cs="Calibri"/>
          <w:lang w:eastAsia="hr-HR"/>
        </w:rPr>
      </w:pPr>
    </w:p>
    <w:tbl>
      <w:tblPr>
        <w:tblStyle w:val="Reetkatablice1"/>
        <w:tblW w:w="0" w:type="auto"/>
        <w:tblLayout w:type="fixed"/>
        <w:tblLook w:val="04A0" w:firstRow="1" w:lastRow="0" w:firstColumn="1" w:lastColumn="0" w:noHBand="0" w:noVBand="1"/>
      </w:tblPr>
      <w:tblGrid>
        <w:gridCol w:w="700"/>
        <w:gridCol w:w="1847"/>
        <w:gridCol w:w="1276"/>
        <w:gridCol w:w="1275"/>
        <w:gridCol w:w="1276"/>
        <w:gridCol w:w="1418"/>
        <w:gridCol w:w="1270"/>
      </w:tblGrid>
      <w:tr w:rsidR="006F2135" w:rsidRPr="006F2135" w14:paraId="18C95EBA" w14:textId="77777777" w:rsidTr="006F2135">
        <w:trPr>
          <w:trHeight w:val="737"/>
        </w:trPr>
        <w:tc>
          <w:tcPr>
            <w:tcW w:w="700" w:type="dxa"/>
            <w:shd w:val="clear" w:color="auto" w:fill="D9D9D9"/>
            <w:vAlign w:val="center"/>
          </w:tcPr>
          <w:p w14:paraId="067A75BD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RED.</w:t>
            </w:r>
          </w:p>
          <w:p w14:paraId="23038F01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BROJ</w:t>
            </w:r>
          </w:p>
        </w:tc>
        <w:tc>
          <w:tcPr>
            <w:tcW w:w="1847" w:type="dxa"/>
            <w:shd w:val="clear" w:color="auto" w:fill="D9D9D9"/>
            <w:vAlign w:val="center"/>
          </w:tcPr>
          <w:p w14:paraId="5A91EDCE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POLITIČKA</w:t>
            </w:r>
          </w:p>
          <w:p w14:paraId="2B5CECE0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STRANKA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6F81C93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BROJ</w:t>
            </w:r>
          </w:p>
          <w:p w14:paraId="176D0D05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VIJEĆNIKA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4D993595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BROJ</w:t>
            </w:r>
          </w:p>
          <w:p w14:paraId="09A97AE3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VIJEĆNICA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5DBFD34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UKUPNO</w:t>
            </w:r>
          </w:p>
          <w:p w14:paraId="238D8A36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VIJEĆNIKA/CA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7FBF6B0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TROMJESEČNO</w:t>
            </w:r>
          </w:p>
        </w:tc>
        <w:tc>
          <w:tcPr>
            <w:tcW w:w="1270" w:type="dxa"/>
            <w:shd w:val="clear" w:color="auto" w:fill="D9D9D9"/>
            <w:vAlign w:val="center"/>
          </w:tcPr>
          <w:p w14:paraId="683372D6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UKUPNO</w:t>
            </w:r>
          </w:p>
        </w:tc>
      </w:tr>
      <w:tr w:rsidR="006F2135" w:rsidRPr="006F2135" w14:paraId="45935950" w14:textId="77777777" w:rsidTr="00351F1C">
        <w:trPr>
          <w:trHeight w:val="340"/>
        </w:trPr>
        <w:tc>
          <w:tcPr>
            <w:tcW w:w="700" w:type="dxa"/>
            <w:vAlign w:val="center"/>
          </w:tcPr>
          <w:p w14:paraId="0043B707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1.</w:t>
            </w:r>
          </w:p>
        </w:tc>
        <w:tc>
          <w:tcPr>
            <w:tcW w:w="1847" w:type="dxa"/>
            <w:vAlign w:val="center"/>
          </w:tcPr>
          <w:p w14:paraId="40D13686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DOMOVINSKI POKRET</w:t>
            </w:r>
          </w:p>
        </w:tc>
        <w:tc>
          <w:tcPr>
            <w:tcW w:w="1276" w:type="dxa"/>
            <w:vAlign w:val="center"/>
          </w:tcPr>
          <w:p w14:paraId="35258840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1</w:t>
            </w:r>
          </w:p>
        </w:tc>
        <w:tc>
          <w:tcPr>
            <w:tcW w:w="1275" w:type="dxa"/>
            <w:vAlign w:val="center"/>
          </w:tcPr>
          <w:p w14:paraId="7BE8D1BE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0</w:t>
            </w:r>
          </w:p>
        </w:tc>
        <w:tc>
          <w:tcPr>
            <w:tcW w:w="1276" w:type="dxa"/>
            <w:vAlign w:val="center"/>
          </w:tcPr>
          <w:p w14:paraId="2DC365B4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1</w:t>
            </w:r>
          </w:p>
        </w:tc>
        <w:tc>
          <w:tcPr>
            <w:tcW w:w="1418" w:type="dxa"/>
            <w:vAlign w:val="center"/>
          </w:tcPr>
          <w:p w14:paraId="3C2171A6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66,40</w:t>
            </w:r>
          </w:p>
        </w:tc>
        <w:tc>
          <w:tcPr>
            <w:tcW w:w="1270" w:type="dxa"/>
            <w:vAlign w:val="center"/>
          </w:tcPr>
          <w:p w14:paraId="6A11BD2D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265,60</w:t>
            </w:r>
          </w:p>
        </w:tc>
      </w:tr>
      <w:tr w:rsidR="006F2135" w:rsidRPr="006F2135" w14:paraId="1A74DD20" w14:textId="77777777" w:rsidTr="00351F1C">
        <w:trPr>
          <w:trHeight w:val="340"/>
        </w:trPr>
        <w:tc>
          <w:tcPr>
            <w:tcW w:w="700" w:type="dxa"/>
            <w:vAlign w:val="center"/>
          </w:tcPr>
          <w:p w14:paraId="40D63677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2.</w:t>
            </w:r>
          </w:p>
        </w:tc>
        <w:tc>
          <w:tcPr>
            <w:tcW w:w="1847" w:type="dxa"/>
            <w:vAlign w:val="center"/>
          </w:tcPr>
          <w:p w14:paraId="74F45C5A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HDZ</w:t>
            </w:r>
          </w:p>
        </w:tc>
        <w:tc>
          <w:tcPr>
            <w:tcW w:w="1276" w:type="dxa"/>
            <w:vAlign w:val="center"/>
          </w:tcPr>
          <w:p w14:paraId="5D87E2D4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4</w:t>
            </w:r>
          </w:p>
        </w:tc>
        <w:tc>
          <w:tcPr>
            <w:tcW w:w="1275" w:type="dxa"/>
            <w:vAlign w:val="center"/>
          </w:tcPr>
          <w:p w14:paraId="4115BBDA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3</w:t>
            </w:r>
          </w:p>
        </w:tc>
        <w:tc>
          <w:tcPr>
            <w:tcW w:w="1276" w:type="dxa"/>
            <w:vAlign w:val="center"/>
          </w:tcPr>
          <w:p w14:paraId="79D4760E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7</w:t>
            </w:r>
          </w:p>
        </w:tc>
        <w:tc>
          <w:tcPr>
            <w:tcW w:w="1418" w:type="dxa"/>
            <w:vAlign w:val="center"/>
          </w:tcPr>
          <w:p w14:paraId="66C1EB73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484,72</w:t>
            </w:r>
          </w:p>
        </w:tc>
        <w:tc>
          <w:tcPr>
            <w:tcW w:w="1270" w:type="dxa"/>
            <w:vAlign w:val="center"/>
          </w:tcPr>
          <w:p w14:paraId="38727810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1.938,88</w:t>
            </w:r>
          </w:p>
        </w:tc>
      </w:tr>
      <w:tr w:rsidR="006F2135" w:rsidRPr="006F2135" w14:paraId="52A8AB10" w14:textId="77777777" w:rsidTr="00351F1C">
        <w:trPr>
          <w:trHeight w:val="340"/>
        </w:trPr>
        <w:tc>
          <w:tcPr>
            <w:tcW w:w="700" w:type="dxa"/>
            <w:vAlign w:val="center"/>
          </w:tcPr>
          <w:p w14:paraId="1053C9E7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3.</w:t>
            </w:r>
          </w:p>
        </w:tc>
        <w:tc>
          <w:tcPr>
            <w:tcW w:w="1847" w:type="dxa"/>
            <w:vAlign w:val="center"/>
          </w:tcPr>
          <w:p w14:paraId="79755C03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HSLS</w:t>
            </w:r>
          </w:p>
        </w:tc>
        <w:tc>
          <w:tcPr>
            <w:tcW w:w="1276" w:type="dxa"/>
            <w:vAlign w:val="center"/>
          </w:tcPr>
          <w:p w14:paraId="2657C8AA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1</w:t>
            </w:r>
          </w:p>
        </w:tc>
        <w:tc>
          <w:tcPr>
            <w:tcW w:w="1275" w:type="dxa"/>
            <w:vAlign w:val="center"/>
          </w:tcPr>
          <w:p w14:paraId="10B9F90D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0</w:t>
            </w:r>
          </w:p>
        </w:tc>
        <w:tc>
          <w:tcPr>
            <w:tcW w:w="1276" w:type="dxa"/>
            <w:vAlign w:val="center"/>
          </w:tcPr>
          <w:p w14:paraId="499432A7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1</w:t>
            </w:r>
          </w:p>
        </w:tc>
        <w:tc>
          <w:tcPr>
            <w:tcW w:w="1418" w:type="dxa"/>
            <w:vAlign w:val="center"/>
          </w:tcPr>
          <w:p w14:paraId="5567FCB8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66,40</w:t>
            </w:r>
          </w:p>
        </w:tc>
        <w:tc>
          <w:tcPr>
            <w:tcW w:w="1270" w:type="dxa"/>
            <w:vAlign w:val="center"/>
          </w:tcPr>
          <w:p w14:paraId="115706B3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265,60</w:t>
            </w:r>
          </w:p>
        </w:tc>
      </w:tr>
      <w:tr w:rsidR="006F2135" w:rsidRPr="006F2135" w14:paraId="27DD573B" w14:textId="77777777" w:rsidTr="00351F1C">
        <w:trPr>
          <w:trHeight w:val="340"/>
        </w:trPr>
        <w:tc>
          <w:tcPr>
            <w:tcW w:w="700" w:type="dxa"/>
            <w:vAlign w:val="center"/>
          </w:tcPr>
          <w:p w14:paraId="2BB75AD5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4.</w:t>
            </w:r>
          </w:p>
        </w:tc>
        <w:tc>
          <w:tcPr>
            <w:tcW w:w="1847" w:type="dxa"/>
            <w:vAlign w:val="center"/>
          </w:tcPr>
          <w:p w14:paraId="342464F0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HSP</w:t>
            </w:r>
          </w:p>
        </w:tc>
        <w:tc>
          <w:tcPr>
            <w:tcW w:w="1276" w:type="dxa"/>
            <w:vAlign w:val="center"/>
          </w:tcPr>
          <w:p w14:paraId="73411091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1</w:t>
            </w:r>
          </w:p>
        </w:tc>
        <w:tc>
          <w:tcPr>
            <w:tcW w:w="1275" w:type="dxa"/>
            <w:vAlign w:val="center"/>
          </w:tcPr>
          <w:p w14:paraId="22259286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0</w:t>
            </w:r>
          </w:p>
        </w:tc>
        <w:tc>
          <w:tcPr>
            <w:tcW w:w="1276" w:type="dxa"/>
            <w:vAlign w:val="center"/>
          </w:tcPr>
          <w:p w14:paraId="1672DE4C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1</w:t>
            </w:r>
          </w:p>
        </w:tc>
        <w:tc>
          <w:tcPr>
            <w:tcW w:w="1418" w:type="dxa"/>
            <w:vAlign w:val="center"/>
          </w:tcPr>
          <w:p w14:paraId="4FC6C540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66,40</w:t>
            </w:r>
          </w:p>
        </w:tc>
        <w:tc>
          <w:tcPr>
            <w:tcW w:w="1270" w:type="dxa"/>
            <w:vAlign w:val="center"/>
          </w:tcPr>
          <w:p w14:paraId="178A1892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265,60</w:t>
            </w:r>
          </w:p>
        </w:tc>
      </w:tr>
      <w:tr w:rsidR="006F2135" w:rsidRPr="006F2135" w14:paraId="6A8FA087" w14:textId="77777777" w:rsidTr="00351F1C">
        <w:trPr>
          <w:trHeight w:val="340"/>
        </w:trPr>
        <w:tc>
          <w:tcPr>
            <w:tcW w:w="700" w:type="dxa"/>
            <w:vAlign w:val="center"/>
          </w:tcPr>
          <w:p w14:paraId="71684321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5.</w:t>
            </w:r>
          </w:p>
        </w:tc>
        <w:tc>
          <w:tcPr>
            <w:tcW w:w="1847" w:type="dxa"/>
            <w:vAlign w:val="center"/>
          </w:tcPr>
          <w:p w14:paraId="47E43AE1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HSU</w:t>
            </w:r>
          </w:p>
        </w:tc>
        <w:tc>
          <w:tcPr>
            <w:tcW w:w="1276" w:type="dxa"/>
            <w:vAlign w:val="center"/>
          </w:tcPr>
          <w:p w14:paraId="19B3A72D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1</w:t>
            </w:r>
          </w:p>
        </w:tc>
        <w:tc>
          <w:tcPr>
            <w:tcW w:w="1275" w:type="dxa"/>
            <w:vAlign w:val="center"/>
          </w:tcPr>
          <w:p w14:paraId="1C21303B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1</w:t>
            </w:r>
          </w:p>
        </w:tc>
        <w:tc>
          <w:tcPr>
            <w:tcW w:w="1276" w:type="dxa"/>
            <w:vAlign w:val="center"/>
          </w:tcPr>
          <w:p w14:paraId="40441AD4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2</w:t>
            </w:r>
          </w:p>
        </w:tc>
        <w:tc>
          <w:tcPr>
            <w:tcW w:w="1418" w:type="dxa"/>
            <w:vAlign w:val="center"/>
          </w:tcPr>
          <w:p w14:paraId="0FC6173A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139,44</w:t>
            </w:r>
          </w:p>
        </w:tc>
        <w:tc>
          <w:tcPr>
            <w:tcW w:w="1270" w:type="dxa"/>
            <w:vAlign w:val="center"/>
          </w:tcPr>
          <w:p w14:paraId="3D75C83D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557,76</w:t>
            </w:r>
          </w:p>
        </w:tc>
      </w:tr>
      <w:tr w:rsidR="006F2135" w:rsidRPr="006F2135" w14:paraId="70957A8D" w14:textId="77777777" w:rsidTr="00351F1C">
        <w:trPr>
          <w:trHeight w:val="340"/>
        </w:trPr>
        <w:tc>
          <w:tcPr>
            <w:tcW w:w="700" w:type="dxa"/>
            <w:vAlign w:val="center"/>
          </w:tcPr>
          <w:p w14:paraId="230E491D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6.</w:t>
            </w:r>
          </w:p>
        </w:tc>
        <w:tc>
          <w:tcPr>
            <w:tcW w:w="1847" w:type="dxa"/>
            <w:vAlign w:val="center"/>
          </w:tcPr>
          <w:p w14:paraId="7617B0DA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NSH</w:t>
            </w:r>
          </w:p>
        </w:tc>
        <w:tc>
          <w:tcPr>
            <w:tcW w:w="1276" w:type="dxa"/>
            <w:vAlign w:val="center"/>
          </w:tcPr>
          <w:p w14:paraId="05E89ACD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1</w:t>
            </w:r>
          </w:p>
        </w:tc>
        <w:tc>
          <w:tcPr>
            <w:tcW w:w="1275" w:type="dxa"/>
            <w:vAlign w:val="center"/>
          </w:tcPr>
          <w:p w14:paraId="47876AD6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0</w:t>
            </w:r>
          </w:p>
        </w:tc>
        <w:tc>
          <w:tcPr>
            <w:tcW w:w="1276" w:type="dxa"/>
            <w:vAlign w:val="center"/>
          </w:tcPr>
          <w:p w14:paraId="311A6EB5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1</w:t>
            </w:r>
          </w:p>
        </w:tc>
        <w:tc>
          <w:tcPr>
            <w:tcW w:w="1418" w:type="dxa"/>
            <w:vAlign w:val="center"/>
          </w:tcPr>
          <w:p w14:paraId="5E15DCDC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66,40</w:t>
            </w:r>
          </w:p>
        </w:tc>
        <w:tc>
          <w:tcPr>
            <w:tcW w:w="1270" w:type="dxa"/>
            <w:vAlign w:val="center"/>
          </w:tcPr>
          <w:p w14:paraId="07C6CC3A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265,60</w:t>
            </w:r>
          </w:p>
        </w:tc>
      </w:tr>
      <w:tr w:rsidR="006F2135" w:rsidRPr="006F2135" w14:paraId="5E546CF4" w14:textId="77777777" w:rsidTr="00351F1C">
        <w:trPr>
          <w:trHeight w:val="340"/>
        </w:trPr>
        <w:tc>
          <w:tcPr>
            <w:tcW w:w="700" w:type="dxa"/>
            <w:vAlign w:val="center"/>
          </w:tcPr>
          <w:p w14:paraId="318B56E1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7.</w:t>
            </w:r>
          </w:p>
        </w:tc>
        <w:tc>
          <w:tcPr>
            <w:tcW w:w="1847" w:type="dxa"/>
            <w:vAlign w:val="center"/>
          </w:tcPr>
          <w:p w14:paraId="4990BFB1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SDP</w:t>
            </w:r>
          </w:p>
        </w:tc>
        <w:tc>
          <w:tcPr>
            <w:tcW w:w="1276" w:type="dxa"/>
            <w:vAlign w:val="center"/>
          </w:tcPr>
          <w:p w14:paraId="5116CDDB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2</w:t>
            </w:r>
          </w:p>
        </w:tc>
        <w:tc>
          <w:tcPr>
            <w:tcW w:w="1275" w:type="dxa"/>
            <w:vAlign w:val="center"/>
          </w:tcPr>
          <w:p w14:paraId="72E41B41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0</w:t>
            </w:r>
          </w:p>
        </w:tc>
        <w:tc>
          <w:tcPr>
            <w:tcW w:w="1276" w:type="dxa"/>
            <w:vAlign w:val="center"/>
          </w:tcPr>
          <w:p w14:paraId="33F67E81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2</w:t>
            </w:r>
          </w:p>
        </w:tc>
        <w:tc>
          <w:tcPr>
            <w:tcW w:w="1418" w:type="dxa"/>
            <w:vAlign w:val="center"/>
          </w:tcPr>
          <w:p w14:paraId="125FF84D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132,80</w:t>
            </w:r>
          </w:p>
        </w:tc>
        <w:tc>
          <w:tcPr>
            <w:tcW w:w="1270" w:type="dxa"/>
            <w:vAlign w:val="center"/>
          </w:tcPr>
          <w:p w14:paraId="06C568DC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531,20</w:t>
            </w:r>
          </w:p>
        </w:tc>
      </w:tr>
      <w:tr w:rsidR="006F2135" w:rsidRPr="006F2135" w14:paraId="4F128529" w14:textId="77777777" w:rsidTr="00351F1C">
        <w:trPr>
          <w:trHeight w:val="340"/>
        </w:trPr>
        <w:tc>
          <w:tcPr>
            <w:tcW w:w="700" w:type="dxa"/>
            <w:vAlign w:val="center"/>
          </w:tcPr>
          <w:p w14:paraId="67E4ACD9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8.</w:t>
            </w:r>
          </w:p>
        </w:tc>
        <w:tc>
          <w:tcPr>
            <w:tcW w:w="1847" w:type="dxa"/>
            <w:vAlign w:val="center"/>
          </w:tcPr>
          <w:p w14:paraId="4AC7E35D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SDSS</w:t>
            </w:r>
          </w:p>
        </w:tc>
        <w:tc>
          <w:tcPr>
            <w:tcW w:w="1276" w:type="dxa"/>
            <w:vAlign w:val="center"/>
          </w:tcPr>
          <w:p w14:paraId="716A3B27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1</w:t>
            </w:r>
          </w:p>
        </w:tc>
        <w:tc>
          <w:tcPr>
            <w:tcW w:w="1275" w:type="dxa"/>
            <w:vAlign w:val="center"/>
          </w:tcPr>
          <w:p w14:paraId="136C353E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0</w:t>
            </w:r>
          </w:p>
        </w:tc>
        <w:tc>
          <w:tcPr>
            <w:tcW w:w="1276" w:type="dxa"/>
            <w:vAlign w:val="center"/>
          </w:tcPr>
          <w:p w14:paraId="3943388E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1</w:t>
            </w:r>
          </w:p>
        </w:tc>
        <w:tc>
          <w:tcPr>
            <w:tcW w:w="1418" w:type="dxa"/>
            <w:vAlign w:val="center"/>
          </w:tcPr>
          <w:p w14:paraId="62DD7FCB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66,40</w:t>
            </w:r>
          </w:p>
        </w:tc>
        <w:tc>
          <w:tcPr>
            <w:tcW w:w="1270" w:type="dxa"/>
            <w:vAlign w:val="center"/>
          </w:tcPr>
          <w:p w14:paraId="667C7146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265,60</w:t>
            </w:r>
          </w:p>
        </w:tc>
      </w:tr>
      <w:tr w:rsidR="006F2135" w:rsidRPr="006F2135" w14:paraId="2B811D24" w14:textId="77777777" w:rsidTr="006F2135">
        <w:trPr>
          <w:trHeight w:val="510"/>
        </w:trPr>
        <w:tc>
          <w:tcPr>
            <w:tcW w:w="700" w:type="dxa"/>
            <w:shd w:val="clear" w:color="auto" w:fill="D9D9D9"/>
            <w:vAlign w:val="center"/>
          </w:tcPr>
          <w:p w14:paraId="148B63F8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</w:p>
        </w:tc>
        <w:tc>
          <w:tcPr>
            <w:tcW w:w="1847" w:type="dxa"/>
            <w:shd w:val="clear" w:color="auto" w:fill="D9D9D9"/>
            <w:vAlign w:val="center"/>
          </w:tcPr>
          <w:p w14:paraId="4286CE0D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489BA1F6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12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15A14106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4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64830CF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16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A8566CA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1.088,96 €</w:t>
            </w:r>
          </w:p>
        </w:tc>
        <w:tc>
          <w:tcPr>
            <w:tcW w:w="1270" w:type="dxa"/>
            <w:shd w:val="clear" w:color="auto" w:fill="D9D9D9"/>
            <w:vAlign w:val="center"/>
          </w:tcPr>
          <w:p w14:paraId="6AC53B4E" w14:textId="77777777" w:rsidR="006F2135" w:rsidRPr="006F2135" w:rsidRDefault="006F2135" w:rsidP="006F2135">
            <w:pPr>
              <w:spacing w:line="276" w:lineRule="auto"/>
              <w:jc w:val="center"/>
              <w:rPr>
                <w:rFonts w:ascii="Calibri" w:hAnsi="Calibri" w:cs="Calibri"/>
                <w:lang w:eastAsia="hr-HR"/>
              </w:rPr>
            </w:pPr>
            <w:r w:rsidRPr="006F2135">
              <w:rPr>
                <w:rFonts w:ascii="Calibri" w:hAnsi="Calibri" w:cs="Calibri"/>
                <w:lang w:eastAsia="hr-HR"/>
              </w:rPr>
              <w:t>4.355,84 €</w:t>
            </w:r>
          </w:p>
        </w:tc>
      </w:tr>
    </w:tbl>
    <w:p w14:paraId="1347C705" w14:textId="77777777" w:rsidR="006F2135" w:rsidRPr="006F2135" w:rsidRDefault="006F2135" w:rsidP="006F2135">
      <w:pPr>
        <w:spacing w:line="276" w:lineRule="auto"/>
        <w:rPr>
          <w:rFonts w:ascii="Calibri" w:eastAsia="Times New Roman" w:hAnsi="Calibri" w:cs="Calibri"/>
          <w:noProof w:val="0"/>
        </w:rPr>
      </w:pPr>
    </w:p>
    <w:p w14:paraId="43AAD598" w14:textId="77777777" w:rsidR="006F2135" w:rsidRPr="006F2135" w:rsidRDefault="006F2135" w:rsidP="006F2135">
      <w:pPr>
        <w:spacing w:line="276" w:lineRule="auto"/>
        <w:jc w:val="center"/>
        <w:rPr>
          <w:rFonts w:ascii="Calibri" w:eastAsia="Times New Roman" w:hAnsi="Calibri" w:cs="Calibri"/>
          <w:b/>
          <w:bCs/>
          <w:noProof w:val="0"/>
        </w:rPr>
      </w:pPr>
      <w:r w:rsidRPr="006F2135">
        <w:rPr>
          <w:rFonts w:ascii="Calibri" w:eastAsia="Times New Roman" w:hAnsi="Calibri" w:cs="Calibri"/>
          <w:b/>
          <w:bCs/>
          <w:noProof w:val="0"/>
        </w:rPr>
        <w:t>Članak 6.</w:t>
      </w:r>
    </w:p>
    <w:p w14:paraId="0BD10CB3" w14:textId="77777777" w:rsidR="006F2135" w:rsidRPr="006F2135" w:rsidRDefault="006F2135" w:rsidP="006F2135">
      <w:pPr>
        <w:spacing w:line="276" w:lineRule="auto"/>
        <w:jc w:val="both"/>
        <w:rPr>
          <w:rFonts w:ascii="Calibri" w:eastAsia="Times New Roman" w:hAnsi="Calibri" w:cs="Calibri"/>
          <w:noProof w:val="0"/>
        </w:rPr>
      </w:pPr>
      <w:r w:rsidRPr="006F2135">
        <w:rPr>
          <w:rFonts w:ascii="Calibri" w:eastAsia="Times New Roman" w:hAnsi="Calibri" w:cs="Calibri"/>
          <w:noProof w:val="0"/>
        </w:rPr>
        <w:t>Sredstva iz članka 5. ove Odluke, Upravni odjel za financije Grada Garešnice doznačuje na žiro račun pojedine političke stranke tromjesečno u jednakim iznosima, a ako se početak ili završetak mandata ne poklapaju s početkom ili završetkom tromjesečja, za to tromjesečje isplaćuje se iznos razmjeran broju dana trajanja mandata.</w:t>
      </w:r>
    </w:p>
    <w:p w14:paraId="6DE0F8C1" w14:textId="77777777" w:rsidR="006F2135" w:rsidRPr="006F2135" w:rsidRDefault="006F2135" w:rsidP="006F2135">
      <w:pPr>
        <w:spacing w:line="276" w:lineRule="auto"/>
        <w:rPr>
          <w:rFonts w:ascii="Calibri" w:eastAsia="Times New Roman" w:hAnsi="Calibri" w:cs="Calibri"/>
          <w:b/>
          <w:bCs/>
          <w:noProof w:val="0"/>
        </w:rPr>
      </w:pPr>
    </w:p>
    <w:p w14:paraId="6AB3FA20" w14:textId="77777777" w:rsidR="006F2135" w:rsidRPr="006F2135" w:rsidRDefault="006F2135" w:rsidP="006F2135">
      <w:pPr>
        <w:spacing w:line="276" w:lineRule="auto"/>
        <w:jc w:val="center"/>
        <w:rPr>
          <w:rFonts w:ascii="Calibri" w:eastAsia="Times New Roman" w:hAnsi="Calibri" w:cs="Calibri"/>
          <w:b/>
          <w:bCs/>
          <w:noProof w:val="0"/>
        </w:rPr>
      </w:pPr>
      <w:r w:rsidRPr="006F2135">
        <w:rPr>
          <w:rFonts w:ascii="Calibri" w:eastAsia="Times New Roman" w:hAnsi="Calibri" w:cs="Calibri"/>
          <w:b/>
          <w:bCs/>
          <w:noProof w:val="0"/>
        </w:rPr>
        <w:t>Članak 7.</w:t>
      </w:r>
    </w:p>
    <w:p w14:paraId="158F7AC4" w14:textId="77777777" w:rsidR="006F2135" w:rsidRPr="006F2135" w:rsidRDefault="006F2135" w:rsidP="006F2135">
      <w:pPr>
        <w:spacing w:line="276" w:lineRule="auto"/>
        <w:jc w:val="both"/>
        <w:rPr>
          <w:rFonts w:ascii="Calibri" w:eastAsia="Times New Roman" w:hAnsi="Calibri" w:cs="Calibri"/>
          <w:noProof w:val="0"/>
        </w:rPr>
      </w:pPr>
      <w:r w:rsidRPr="006F2135">
        <w:rPr>
          <w:rFonts w:ascii="Calibri" w:eastAsia="Times New Roman" w:hAnsi="Calibri" w:cs="Calibri"/>
          <w:noProof w:val="0"/>
        </w:rPr>
        <w:t>Ova Odluka stupa na snagu osmog dana od dana objave u Službenom glasniku Grada Garešnice.</w:t>
      </w:r>
    </w:p>
    <w:p w14:paraId="3C655C36" w14:textId="77777777" w:rsidR="006F2135" w:rsidRPr="006F2135" w:rsidRDefault="006F2135" w:rsidP="006F2135">
      <w:pPr>
        <w:spacing w:line="276" w:lineRule="auto"/>
        <w:jc w:val="both"/>
        <w:rPr>
          <w:rFonts w:ascii="Calibri" w:eastAsia="Times New Roman" w:hAnsi="Calibri" w:cs="Calibri"/>
          <w:noProof w:val="0"/>
        </w:rPr>
      </w:pPr>
    </w:p>
    <w:p w14:paraId="178F6780" w14:textId="77777777" w:rsidR="006F2135" w:rsidRPr="006F2135" w:rsidRDefault="006F2135" w:rsidP="006F2135">
      <w:pPr>
        <w:spacing w:line="276" w:lineRule="auto"/>
        <w:jc w:val="center"/>
        <w:rPr>
          <w:rFonts w:ascii="Calibri" w:eastAsia="Times New Roman" w:hAnsi="Calibri" w:cs="Calibri"/>
          <w:noProof w:val="0"/>
        </w:rPr>
      </w:pPr>
    </w:p>
    <w:p w14:paraId="738251D8" w14:textId="020C22AD" w:rsidR="006F2135" w:rsidRPr="006F2135" w:rsidRDefault="006F2135" w:rsidP="006F2135">
      <w:pPr>
        <w:spacing w:line="276" w:lineRule="auto"/>
        <w:jc w:val="center"/>
        <w:rPr>
          <w:rFonts w:ascii="Calibri" w:eastAsia="Times New Roman" w:hAnsi="Calibri" w:cs="Calibri"/>
          <w:noProof w:val="0"/>
        </w:rPr>
      </w:pPr>
      <w:r w:rsidRPr="006F2135">
        <w:rPr>
          <w:rFonts w:ascii="Calibri" w:eastAsia="Times New Roman" w:hAnsi="Calibri" w:cs="Calibri"/>
          <w:noProof w:val="0"/>
        </w:rPr>
        <w:t xml:space="preserve">                                                                                 </w:t>
      </w:r>
      <w:r>
        <w:rPr>
          <w:rFonts w:ascii="Calibri" w:eastAsia="Times New Roman" w:hAnsi="Calibri" w:cs="Calibri"/>
          <w:noProof w:val="0"/>
        </w:rPr>
        <w:tab/>
      </w:r>
      <w:r>
        <w:rPr>
          <w:rFonts w:ascii="Calibri" w:eastAsia="Times New Roman" w:hAnsi="Calibri" w:cs="Calibri"/>
          <w:noProof w:val="0"/>
        </w:rPr>
        <w:tab/>
      </w:r>
      <w:r>
        <w:rPr>
          <w:rFonts w:ascii="Calibri" w:eastAsia="Times New Roman" w:hAnsi="Calibri" w:cs="Calibri"/>
          <w:noProof w:val="0"/>
        </w:rPr>
        <w:tab/>
      </w:r>
      <w:r w:rsidRPr="006F2135">
        <w:rPr>
          <w:rFonts w:ascii="Calibri" w:eastAsia="Times New Roman" w:hAnsi="Calibri" w:cs="Calibri"/>
          <w:noProof w:val="0"/>
        </w:rPr>
        <w:t xml:space="preserve">  PREDESJEDNIK GRADSKOG VIJEĆA</w:t>
      </w:r>
    </w:p>
    <w:p w14:paraId="698ABC15" w14:textId="7D7C9901" w:rsidR="006F2135" w:rsidRPr="006F2135" w:rsidRDefault="006F2135" w:rsidP="006F2135">
      <w:pPr>
        <w:spacing w:line="276" w:lineRule="auto"/>
        <w:jc w:val="center"/>
        <w:rPr>
          <w:rFonts w:ascii="Calibri" w:eastAsia="Times New Roman" w:hAnsi="Calibri" w:cs="Calibri"/>
          <w:noProof w:val="0"/>
        </w:rPr>
      </w:pPr>
      <w:r w:rsidRPr="006F2135">
        <w:rPr>
          <w:rFonts w:ascii="Calibri" w:eastAsia="Times New Roman" w:hAnsi="Calibri" w:cs="Calibri"/>
          <w:noProof w:val="0"/>
        </w:rPr>
        <w:t xml:space="preserve">                                                                                </w:t>
      </w:r>
      <w:r>
        <w:rPr>
          <w:rFonts w:ascii="Calibri" w:eastAsia="Times New Roman" w:hAnsi="Calibri" w:cs="Calibri"/>
          <w:noProof w:val="0"/>
        </w:rPr>
        <w:tab/>
      </w:r>
      <w:r>
        <w:rPr>
          <w:rFonts w:ascii="Calibri" w:eastAsia="Times New Roman" w:hAnsi="Calibri" w:cs="Calibri"/>
          <w:noProof w:val="0"/>
        </w:rPr>
        <w:tab/>
      </w:r>
      <w:r>
        <w:rPr>
          <w:rFonts w:ascii="Calibri" w:eastAsia="Times New Roman" w:hAnsi="Calibri" w:cs="Calibri"/>
          <w:noProof w:val="0"/>
        </w:rPr>
        <w:tab/>
      </w:r>
      <w:bookmarkStart w:id="1" w:name="_GoBack"/>
      <w:bookmarkEnd w:id="1"/>
      <w:r w:rsidRPr="006F2135">
        <w:rPr>
          <w:rFonts w:ascii="Calibri" w:eastAsia="Times New Roman" w:hAnsi="Calibri" w:cs="Calibri"/>
          <w:noProof w:val="0"/>
        </w:rPr>
        <w:t xml:space="preserve">  Željko Starčević</w:t>
      </w:r>
    </w:p>
    <w:p w14:paraId="0A5E7222" w14:textId="77777777" w:rsidR="006F2135" w:rsidRPr="006F2135" w:rsidRDefault="006F2135" w:rsidP="006F2135">
      <w:pPr>
        <w:spacing w:line="276" w:lineRule="auto"/>
        <w:jc w:val="center"/>
        <w:rPr>
          <w:rFonts w:ascii="Calibri" w:eastAsia="Times New Roman" w:hAnsi="Calibri" w:cs="Calibri"/>
          <w:noProof w:val="0"/>
        </w:rPr>
      </w:pPr>
    </w:p>
    <w:p w14:paraId="187EF6B9" w14:textId="77777777" w:rsidR="006F2135" w:rsidRDefault="006F2135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D6F5F03" w14:textId="77777777" w:rsidR="006F2135" w:rsidRPr="00B92D0F" w:rsidRDefault="006F2135" w:rsidP="00B92D0F">
      <w:pPr>
        <w:spacing w:after="160" w:line="259" w:lineRule="auto"/>
        <w:rPr>
          <w:rFonts w:eastAsia="Times New Roman" w:cs="Times New Roman"/>
          <w:noProof w:val="0"/>
        </w:rPr>
      </w:pPr>
    </w:p>
    <w:sectPr w:rsidR="006F2135" w:rsidRPr="00B92D0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A6040"/>
    <w:rsid w:val="000B7230"/>
    <w:rsid w:val="000D4399"/>
    <w:rsid w:val="00275B0C"/>
    <w:rsid w:val="00347D72"/>
    <w:rsid w:val="003F65C1"/>
    <w:rsid w:val="00575A03"/>
    <w:rsid w:val="00693AB1"/>
    <w:rsid w:val="006F2135"/>
    <w:rsid w:val="008A562A"/>
    <w:rsid w:val="008C5FE5"/>
    <w:rsid w:val="00922DDC"/>
    <w:rsid w:val="009B7A12"/>
    <w:rsid w:val="00A836D0"/>
    <w:rsid w:val="00AC35DA"/>
    <w:rsid w:val="00B92D0F"/>
    <w:rsid w:val="00C470A5"/>
    <w:rsid w:val="00C9578C"/>
    <w:rsid w:val="00D707B3"/>
    <w:rsid w:val="00DC2F7E"/>
    <w:rsid w:val="00EA4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6F2135"/>
    <w:pPr>
      <w:jc w:val="both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34DADF79-FC5B-4FBD-9FA0-66EF4D44975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Irena Musić</cp:lastModifiedBy>
  <cp:revision>4</cp:revision>
  <cp:lastPrinted>2023-12-13T13:45:00Z</cp:lastPrinted>
  <dcterms:created xsi:type="dcterms:W3CDTF">2023-03-02T09:54:00Z</dcterms:created>
  <dcterms:modified xsi:type="dcterms:W3CDTF">2023-12-13T13:45:00Z</dcterms:modified>
</cp:coreProperties>
</file>