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5BF74" w14:textId="77777777" w:rsidR="008C71C6" w:rsidRDefault="008C71C6" w:rsidP="008C71C6">
      <w:pPr>
        <w:tabs>
          <w:tab w:val="left" w:pos="6795"/>
        </w:tabs>
        <w:rPr>
          <w:rFonts w:ascii="Calibri" w:eastAsia="Calibri" w:hAnsi="Calibri" w:cs="Calibri"/>
          <w:kern w:val="0"/>
          <w14:ligatures w14:val="none"/>
        </w:rPr>
      </w:pPr>
    </w:p>
    <w:p w14:paraId="2749FA89" w14:textId="575FE4DF" w:rsidR="00B9658C" w:rsidRPr="00B9658C" w:rsidRDefault="008C71C6" w:rsidP="008C71C6">
      <w:pPr>
        <w:tabs>
          <w:tab w:val="left" w:pos="6795"/>
        </w:tabs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                    </w:t>
      </w:r>
      <w:r w:rsidR="00B9658C" w:rsidRPr="00B965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</w:t>
      </w:r>
      <w:r w:rsidR="00B9658C"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drawing>
          <wp:inline distT="0" distB="0" distL="0" distR="0" wp14:anchorId="73F0C8D5" wp14:editId="2B7EBA19">
            <wp:extent cx="447675" cy="609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133D" w14:textId="77777777" w:rsidR="00B9658C" w:rsidRPr="00B9658C" w:rsidRDefault="00B9658C" w:rsidP="009A0F6B">
      <w:pPr>
        <w:jc w:val="left"/>
        <w:rPr>
          <w:rFonts w:ascii="Calibri" w:eastAsia="Calibri" w:hAnsi="Calibri" w:cs="Calibri"/>
          <w:b/>
          <w:kern w:val="0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REPUBLIKA HRVATSKA</w:t>
      </w:r>
    </w:p>
    <w:p w14:paraId="6277F136" w14:textId="77777777" w:rsidR="00B9658C" w:rsidRPr="00B9658C" w:rsidRDefault="00B9658C" w:rsidP="009A0F6B">
      <w:pPr>
        <w:jc w:val="left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>BJELOVARSKO-BILOGORSKA ŽUPANIJA</w:t>
      </w:r>
    </w:p>
    <w:p w14:paraId="2E6D8D98" w14:textId="77777777" w:rsidR="00B9658C" w:rsidRPr="00B9658C" w:rsidRDefault="00B9658C" w:rsidP="009A0F6B">
      <w:pPr>
        <w:jc w:val="left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    GRAD GAREŠNICA</w:t>
      </w:r>
    </w:p>
    <w:p w14:paraId="3BDDC60D" w14:textId="77777777" w:rsidR="00B9658C" w:rsidRDefault="00B9658C" w:rsidP="009A0F6B">
      <w:pPr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                 Gradsko vijeće</w:t>
      </w:r>
    </w:p>
    <w:p w14:paraId="0E4C6880" w14:textId="77777777" w:rsidR="001B7CC7" w:rsidRPr="00B9658C" w:rsidRDefault="001B7CC7" w:rsidP="009A0F6B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</w:p>
    <w:p w14:paraId="19C264D9" w14:textId="0643643A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KLASA: </w:t>
      </w:r>
      <w:r w:rsidR="001B7CC7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400-06/24-01/7</w:t>
      </w:r>
    </w:p>
    <w:p w14:paraId="51A38FC1" w14:textId="5E9509CC" w:rsidR="00B9658C" w:rsidRPr="00B9658C" w:rsidRDefault="00B9658C" w:rsidP="00B9658C">
      <w:pPr>
        <w:rPr>
          <w:rFonts w:ascii="Calibri" w:eastAsia="Times New Roman" w:hAnsi="Calibri" w:cs="Calibri"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URBROJ: </w:t>
      </w:r>
      <w:r w:rsidR="001B7CC7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2103-4-01-24-1</w:t>
      </w:r>
    </w:p>
    <w:p w14:paraId="386C10DF" w14:textId="2C81C7A8" w:rsidR="00B9658C" w:rsidRPr="00B9658C" w:rsidRDefault="00B9658C" w:rsidP="00A602F6">
      <w:pPr>
        <w:rPr>
          <w:rFonts w:ascii="Calibri" w:eastAsia="Times New Roman" w:hAnsi="Calibri" w:cs="Calibri"/>
          <w:b/>
          <w:i/>
          <w:i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Garešnica, </w:t>
      </w:r>
      <w:r w:rsidR="001B7CC7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18. lipnja 2024. godine</w:t>
      </w:r>
    </w:p>
    <w:p w14:paraId="24D01A79" w14:textId="77777777" w:rsidR="00B9658C" w:rsidRPr="00B9658C" w:rsidRDefault="00B9658C" w:rsidP="00B9658C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i/>
          <w:iCs/>
          <w:noProof/>
          <w:kern w:val="0"/>
          <w:lang w:eastAsia="hr-HR"/>
          <w14:ligatures w14:val="none"/>
        </w:rPr>
      </w:pPr>
    </w:p>
    <w:p w14:paraId="5E94572B" w14:textId="43001427" w:rsidR="00B9658C" w:rsidRPr="00B9658C" w:rsidRDefault="00B9658C" w:rsidP="00B965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Na temelju članka 1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8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. stavak 1. Zakona o 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proračunu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(„Narodne novine“ broj </w:t>
      </w:r>
      <w:r w:rsidR="008E276B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144/21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) i članka 35. Statuta Grada Garešnic</w:t>
      </w:r>
      <w:r w:rsidR="00FB2393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e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(„Službeni glasnik Grada Garešnice“ broj 2/21), Gradsko vijeće Grada Garešnice, na 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svojoj</w:t>
      </w:r>
      <w:r w:rsidR="001B7CC7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25.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sjednici održanoj 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dana</w:t>
      </w:r>
      <w:r w:rsidR="001B7CC7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18. lipnja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202</w:t>
      </w:r>
      <w:r w:rsidR="00910447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4</w:t>
      </w:r>
      <w:r w:rsidR="00A602F6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. godine, </w:t>
      </w:r>
      <w:r w:rsidRPr="00B9658C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donijelo je</w:t>
      </w:r>
    </w:p>
    <w:p w14:paraId="7822ED9D" w14:textId="77777777" w:rsidR="00F64E9C" w:rsidRPr="00B9658C" w:rsidRDefault="00F64E9C" w:rsidP="00B965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1CECBC5A" w14:textId="77777777" w:rsidR="00B9658C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</w:pPr>
      <w:r w:rsidRPr="00B9658C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O  D  L  U  K  U</w:t>
      </w:r>
    </w:p>
    <w:p w14:paraId="5B9B8CC3" w14:textId="57689410" w:rsidR="00B9658C" w:rsidRPr="00B9658C" w:rsidRDefault="00B9658C" w:rsidP="008E276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  <w:bookmarkStart w:id="0" w:name="_Hlk152841286"/>
      <w:r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o</w:t>
      </w:r>
      <w:r w:rsidR="00783211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 </w:t>
      </w:r>
      <w:r w:rsidR="00FB2393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izmjenama 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i dopunama Odluke o izvršavanju </w:t>
      </w:r>
      <w:r w:rsidR="00094417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P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roračuna Grada Garešnic</w:t>
      </w:r>
      <w:r w:rsidR="00281DA0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a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 xml:space="preserve"> za 202</w:t>
      </w:r>
      <w:r w:rsidR="00910447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4</w:t>
      </w:r>
      <w:r w:rsidR="008E276B">
        <w:rPr>
          <w:rFonts w:ascii="Calibri" w:eastAsia="Times New Roman" w:hAnsi="Calibri" w:cs="Calibri"/>
          <w:b/>
          <w:bCs/>
          <w:noProof/>
          <w:kern w:val="0"/>
          <w:lang w:eastAsia="hr-HR"/>
          <w14:ligatures w14:val="none"/>
        </w:rPr>
        <w:t>. godinu</w:t>
      </w:r>
    </w:p>
    <w:bookmarkEnd w:id="0"/>
    <w:p w14:paraId="3C7CC324" w14:textId="77777777" w:rsidR="008E276B" w:rsidRPr="00B9658C" w:rsidRDefault="008E276B" w:rsidP="009A0F6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4BCF5E16" w14:textId="3D765508" w:rsidR="00A8352C" w:rsidRDefault="00B9658C" w:rsidP="00B9658C">
      <w:pPr>
        <w:jc w:val="center"/>
      </w:pPr>
      <w:r>
        <w:t>Članak 1.</w:t>
      </w:r>
    </w:p>
    <w:p w14:paraId="0E0BF1B1" w14:textId="77777777" w:rsidR="00B9658C" w:rsidRDefault="00B9658C" w:rsidP="00B9658C">
      <w:pPr>
        <w:jc w:val="center"/>
      </w:pPr>
    </w:p>
    <w:p w14:paraId="75006090" w14:textId="6D28D047" w:rsidR="00127838" w:rsidRDefault="00B9658C" w:rsidP="00EF34B8">
      <w:pPr>
        <w:ind w:firstLine="567"/>
        <w:rPr>
          <w:rFonts w:cstheme="minorHAnsi"/>
          <w:noProof/>
        </w:rPr>
      </w:pPr>
      <w:r>
        <w:t xml:space="preserve">U Odluci </w:t>
      </w:r>
      <w:r w:rsidR="008E276B" w:rsidRPr="008E276B">
        <w:t>o izvršavanju proračuna Grada Garešnic</w:t>
      </w:r>
      <w:r w:rsidR="00281DA0">
        <w:t>a</w:t>
      </w:r>
      <w:r w:rsidR="008E276B" w:rsidRPr="008E276B">
        <w:t xml:space="preserve"> za 202</w:t>
      </w:r>
      <w:r w:rsidR="00910447">
        <w:t>4</w:t>
      </w:r>
      <w:r w:rsidR="008E276B" w:rsidRPr="008E276B">
        <w:t>. godinu</w:t>
      </w:r>
      <w:r w:rsidR="008E276B">
        <w:t xml:space="preserve"> </w:t>
      </w:r>
      <w:r>
        <w:t xml:space="preserve">(„Službeni glasnik Grada Garešnice“ broj </w:t>
      </w:r>
      <w:r w:rsidR="00910447">
        <w:t>12/23</w:t>
      </w:r>
      <w:r>
        <w:t>)</w:t>
      </w:r>
      <w:r w:rsidR="00127838" w:rsidRPr="00127838">
        <w:rPr>
          <w:rFonts w:cstheme="minorHAnsi"/>
          <w:noProof/>
        </w:rPr>
        <w:t xml:space="preserve"> </w:t>
      </w:r>
      <w:r w:rsidR="00127838">
        <w:rPr>
          <w:rFonts w:cstheme="minorHAnsi"/>
          <w:noProof/>
        </w:rPr>
        <w:t xml:space="preserve">u članku </w:t>
      </w:r>
      <w:r w:rsidR="008E276B">
        <w:rPr>
          <w:rFonts w:cstheme="minorHAnsi"/>
          <w:noProof/>
        </w:rPr>
        <w:t>28</w:t>
      </w:r>
      <w:r w:rsidR="00127838">
        <w:rPr>
          <w:rFonts w:cstheme="minorHAnsi"/>
          <w:noProof/>
        </w:rPr>
        <w:t>.</w:t>
      </w:r>
      <w:r w:rsidR="00A84383">
        <w:rPr>
          <w:rFonts w:cstheme="minorHAnsi"/>
          <w:noProof/>
        </w:rPr>
        <w:t xml:space="preserve"> </w:t>
      </w:r>
      <w:r w:rsidR="008E276B">
        <w:rPr>
          <w:rFonts w:cstheme="minorHAnsi"/>
          <w:noProof/>
        </w:rPr>
        <w:t>stavak 2. mijenja se tako da isti sada glasi:</w:t>
      </w:r>
    </w:p>
    <w:p w14:paraId="5351A987" w14:textId="278F9D13" w:rsidR="008E276B" w:rsidRPr="002E5480" w:rsidRDefault="008E276B" w:rsidP="00EF34B8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>„U 202</w:t>
      </w:r>
      <w:r w:rsidR="00C46295">
        <w:rPr>
          <w:rFonts w:cstheme="minorHAnsi"/>
          <w:noProof/>
        </w:rPr>
        <w:t>4</w:t>
      </w:r>
      <w:r>
        <w:rPr>
          <w:rFonts w:cstheme="minorHAnsi"/>
          <w:noProof/>
        </w:rPr>
        <w:t>. godini Grad Garešnica neće se kratkoročno zaduživati.</w:t>
      </w:r>
      <w:r w:rsidR="00463455">
        <w:rPr>
          <w:rFonts w:cstheme="minorHAnsi"/>
          <w:noProof/>
        </w:rPr>
        <w:t xml:space="preserve"> Kratkoročno zaduženje početkom 2024. godine iznosi 0,00 eura</w:t>
      </w:r>
      <w:r w:rsidR="002E5480">
        <w:rPr>
          <w:rFonts w:cstheme="minorHAnsi"/>
          <w:noProof/>
        </w:rPr>
        <w:t>. Očekivani iznos ukupnog duga po preuzetim kratkoročnim kreditnim zaduženjima na kraju proračunske godine, odnosno na dan 31.12.2024. godine iznosit će 0,00 eura.“</w:t>
      </w:r>
    </w:p>
    <w:p w14:paraId="3E938A1A" w14:textId="77777777" w:rsidR="008E5E32" w:rsidRDefault="008E5E32" w:rsidP="008E5E32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</w:p>
    <w:p w14:paraId="7276F139" w14:textId="5636D78D" w:rsidR="008E5E32" w:rsidRDefault="008E5E32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>Članak 2.</w:t>
      </w:r>
    </w:p>
    <w:p w14:paraId="16EF74A5" w14:textId="77777777" w:rsidR="00127838" w:rsidRDefault="00127838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</w:p>
    <w:p w14:paraId="4E0D814F" w14:textId="0FCBC23F" w:rsidR="008E276B" w:rsidRDefault="002E5480" w:rsidP="00EF34B8">
      <w:pPr>
        <w:widowControl w:val="0"/>
        <w:autoSpaceDE w:val="0"/>
        <w:autoSpaceDN w:val="0"/>
        <w:adjustRightInd w:val="0"/>
        <w:ind w:firstLine="567"/>
        <w:rPr>
          <w:rFonts w:cstheme="minorHAnsi"/>
          <w:noProof/>
        </w:rPr>
      </w:pPr>
      <w:r>
        <w:rPr>
          <w:rFonts w:cstheme="minorHAnsi"/>
          <w:noProof/>
        </w:rPr>
        <w:t>Č</w:t>
      </w:r>
      <w:r w:rsidR="00127838">
        <w:rPr>
          <w:rFonts w:cstheme="minorHAnsi"/>
          <w:noProof/>
        </w:rPr>
        <w:t>lan</w:t>
      </w:r>
      <w:r>
        <w:rPr>
          <w:rFonts w:cstheme="minorHAnsi"/>
          <w:noProof/>
        </w:rPr>
        <w:t>a</w:t>
      </w:r>
      <w:r w:rsidR="00127838">
        <w:rPr>
          <w:rFonts w:cstheme="minorHAnsi"/>
          <w:noProof/>
        </w:rPr>
        <w:t xml:space="preserve">k </w:t>
      </w:r>
      <w:r w:rsidR="008E276B">
        <w:rPr>
          <w:rFonts w:cstheme="minorHAnsi"/>
          <w:noProof/>
        </w:rPr>
        <w:t>2</w:t>
      </w:r>
      <w:r>
        <w:rPr>
          <w:rFonts w:cstheme="minorHAnsi"/>
          <w:noProof/>
        </w:rPr>
        <w:t>9</w:t>
      </w:r>
      <w:r w:rsidR="00127838">
        <w:rPr>
          <w:rFonts w:cstheme="minorHAnsi"/>
          <w:noProof/>
        </w:rPr>
        <w:t>.</w:t>
      </w:r>
      <w:r w:rsidR="008E276B">
        <w:rPr>
          <w:rFonts w:cstheme="minorHAnsi"/>
          <w:noProof/>
        </w:rPr>
        <w:t xml:space="preserve"> mijenja se </w:t>
      </w:r>
      <w:r w:rsidR="009B55AE">
        <w:rPr>
          <w:rFonts w:cstheme="minorHAnsi"/>
          <w:noProof/>
        </w:rPr>
        <w:t>i</w:t>
      </w:r>
      <w:r w:rsidR="008E276B">
        <w:rPr>
          <w:rFonts w:cstheme="minorHAnsi"/>
          <w:noProof/>
        </w:rPr>
        <w:t xml:space="preserve"> sada glasi:</w:t>
      </w:r>
    </w:p>
    <w:p w14:paraId="4DDB187A" w14:textId="0E6DA721" w:rsidR="00127838" w:rsidRDefault="008E276B" w:rsidP="00EF34B8">
      <w:pPr>
        <w:widowControl w:val="0"/>
        <w:autoSpaceDE w:val="0"/>
        <w:autoSpaceDN w:val="0"/>
        <w:adjustRightInd w:val="0"/>
        <w:ind w:firstLine="567"/>
        <w:rPr>
          <w:rFonts w:cstheme="minorHAnsi"/>
          <w:noProof/>
        </w:rPr>
      </w:pPr>
      <w:r>
        <w:rPr>
          <w:rFonts w:cstheme="minorHAnsi"/>
          <w:noProof/>
        </w:rPr>
        <w:t>„</w:t>
      </w:r>
      <w:r w:rsidR="009B55AE">
        <w:rPr>
          <w:rFonts w:cstheme="minorHAnsi"/>
          <w:noProof/>
        </w:rPr>
        <w:t xml:space="preserve">Grad se u 2024. godini može dugoročno zadužiti za </w:t>
      </w:r>
      <w:r w:rsidR="00C46295">
        <w:rPr>
          <w:rFonts w:cstheme="minorHAnsi"/>
          <w:noProof/>
        </w:rPr>
        <w:t>investiciju</w:t>
      </w:r>
      <w:r w:rsidR="009B55AE">
        <w:rPr>
          <w:rFonts w:cstheme="minorHAnsi"/>
          <w:noProof/>
        </w:rPr>
        <w:t xml:space="preserve"> </w:t>
      </w:r>
      <w:r w:rsidR="005055F7">
        <w:rPr>
          <w:rFonts w:cstheme="minorHAnsi"/>
          <w:noProof/>
        </w:rPr>
        <w:t xml:space="preserve">koja se financira iz Proračuna </w:t>
      </w:r>
      <w:r w:rsidR="009B55AE">
        <w:rPr>
          <w:rFonts w:cstheme="minorHAnsi"/>
          <w:noProof/>
        </w:rPr>
        <w:t>sukladno propisima Zakona o proračunu i Zakona o izvršavanju Državnog proračuna za 2024. godinu do svote utvrđene u Računu financiranja Proračuna.</w:t>
      </w:r>
    </w:p>
    <w:p w14:paraId="67CBC4CA" w14:textId="428C0373" w:rsidR="009B55AE" w:rsidRDefault="009B55AE" w:rsidP="00EF34B8">
      <w:pPr>
        <w:widowControl w:val="0"/>
        <w:autoSpaceDE w:val="0"/>
        <w:autoSpaceDN w:val="0"/>
        <w:adjustRightInd w:val="0"/>
        <w:ind w:firstLine="567"/>
        <w:jc w:val="left"/>
        <w:rPr>
          <w:rFonts w:cstheme="minorHAnsi"/>
          <w:noProof/>
        </w:rPr>
      </w:pPr>
      <w:r>
        <w:rPr>
          <w:rFonts w:cstheme="minorHAnsi"/>
          <w:noProof/>
        </w:rPr>
        <w:t>U 2024. godini Grad se može dugoročno zadužiti za:</w:t>
      </w:r>
    </w:p>
    <w:p w14:paraId="47B4584B" w14:textId="1657A938" w:rsidR="00480B26" w:rsidRPr="00C46295" w:rsidRDefault="00342258" w:rsidP="00EF34B8">
      <w:pPr>
        <w:numPr>
          <w:ilvl w:val="0"/>
          <w:numId w:val="2"/>
        </w:numPr>
        <w:ind w:left="0" w:firstLine="567"/>
        <w:rPr>
          <w:rFonts w:cstheme="minorHAnsi"/>
          <w:noProof/>
        </w:rPr>
      </w:pPr>
      <w:bookmarkStart w:id="1" w:name="_Hlk169118765"/>
      <w:bookmarkStart w:id="2" w:name="_Hlk169109668"/>
      <w:r>
        <w:rPr>
          <w:rFonts w:cstheme="minorHAnsi"/>
          <w:noProof/>
        </w:rPr>
        <w:t>K</w:t>
      </w:r>
      <w:r w:rsidR="00480B26" w:rsidRPr="00C46295">
        <w:rPr>
          <w:rFonts w:cstheme="minorHAnsi"/>
          <w:noProof/>
        </w:rPr>
        <w:t>apitaln</w:t>
      </w:r>
      <w:r>
        <w:rPr>
          <w:rFonts w:cstheme="minorHAnsi"/>
          <w:noProof/>
        </w:rPr>
        <w:t>i</w:t>
      </w:r>
      <w:r w:rsidR="00480B26" w:rsidRPr="00C46295">
        <w:rPr>
          <w:rFonts w:cstheme="minorHAnsi"/>
          <w:noProof/>
        </w:rPr>
        <w:t xml:space="preserve"> projekt </w:t>
      </w:r>
      <w:r w:rsidR="00A162EB" w:rsidRPr="00A571E2">
        <w:rPr>
          <w:rFonts w:cstheme="minorHAnsi"/>
          <w:noProof/>
        </w:rPr>
        <w:t>K101605 Dogradnja dječjeg vrtića „Maslačak“</w:t>
      </w:r>
      <w:bookmarkEnd w:id="1"/>
      <w:r w:rsidR="00A162EB" w:rsidRPr="00A571E2">
        <w:rPr>
          <w:rFonts w:cstheme="minorHAnsi"/>
          <w:noProof/>
        </w:rPr>
        <w:t xml:space="preserve">  u </w:t>
      </w:r>
      <w:r>
        <w:rPr>
          <w:rFonts w:cstheme="minorHAnsi"/>
          <w:noProof/>
        </w:rPr>
        <w:t xml:space="preserve">ukupnom </w:t>
      </w:r>
      <w:r w:rsidR="00A162EB" w:rsidRPr="00A571E2">
        <w:rPr>
          <w:rFonts w:cstheme="minorHAnsi"/>
          <w:noProof/>
        </w:rPr>
        <w:t xml:space="preserve">iznosu od </w:t>
      </w:r>
      <w:r>
        <w:rPr>
          <w:rFonts w:cstheme="minorHAnsi"/>
          <w:noProof/>
        </w:rPr>
        <w:t>633.641,00</w:t>
      </w:r>
      <w:r w:rsidR="00A162EB" w:rsidRPr="00A571E2">
        <w:rPr>
          <w:rFonts w:cstheme="minorHAnsi"/>
          <w:noProof/>
        </w:rPr>
        <w:t xml:space="preserve"> eura</w:t>
      </w:r>
      <w:r>
        <w:rPr>
          <w:rFonts w:cstheme="minorHAnsi"/>
          <w:noProof/>
        </w:rPr>
        <w:t>, na način da će se u 2024. godini zadužiti za 513.000,00 eura, a 2025. godine za 120.641,00 eura, sukladno terminskom planu i dinamici izvođenja radova na projektu.</w:t>
      </w:r>
    </w:p>
    <w:p w14:paraId="69789E15" w14:textId="77777777" w:rsidR="005320B0" w:rsidRDefault="00171E37" w:rsidP="00EF34B8">
      <w:pPr>
        <w:rPr>
          <w:rFonts w:cstheme="minorHAnsi"/>
          <w:noProof/>
        </w:rPr>
      </w:pPr>
      <w:r>
        <w:rPr>
          <w:rFonts w:cstheme="minorHAnsi"/>
          <w:noProof/>
        </w:rPr>
        <w:t>Investicija</w:t>
      </w:r>
      <w:r w:rsidR="00A571E2">
        <w:rPr>
          <w:rFonts w:cstheme="minorHAnsi"/>
          <w:noProof/>
        </w:rPr>
        <w:t xml:space="preserve"> je planiran</w:t>
      </w:r>
      <w:r>
        <w:rPr>
          <w:rFonts w:cstheme="minorHAnsi"/>
          <w:noProof/>
        </w:rPr>
        <w:t>a</w:t>
      </w:r>
      <w:r w:rsidR="00A571E2">
        <w:rPr>
          <w:rFonts w:cstheme="minorHAnsi"/>
          <w:noProof/>
        </w:rPr>
        <w:t xml:space="preserve"> u Proračunu Grada Garešnice, Razdjel</w:t>
      </w:r>
      <w:r>
        <w:rPr>
          <w:rFonts w:cstheme="minorHAnsi"/>
          <w:noProof/>
        </w:rPr>
        <w:t xml:space="preserve"> 002 Upravni odjel za društvene djelatnosti, imovinu i opće poslove</w:t>
      </w:r>
      <w:r w:rsidR="00A571E2">
        <w:rPr>
          <w:rFonts w:cstheme="minorHAnsi"/>
          <w:noProof/>
        </w:rPr>
        <w:t>,</w:t>
      </w:r>
      <w:r>
        <w:rPr>
          <w:rFonts w:cstheme="minorHAnsi"/>
          <w:noProof/>
        </w:rPr>
        <w:t xml:space="preserve"> Glava 00201 Upravni odjel za društvene djelatnosti, imovinu i opće poslove, Program 1016 Predškolsko obrazovanje, </w:t>
      </w:r>
      <w:r w:rsidR="00342258">
        <w:rPr>
          <w:rFonts w:cstheme="minorHAnsi"/>
          <w:noProof/>
        </w:rPr>
        <w:t>K</w:t>
      </w:r>
      <w:r>
        <w:rPr>
          <w:rFonts w:cstheme="minorHAnsi"/>
          <w:noProof/>
        </w:rPr>
        <w:t xml:space="preserve">apitalni projekt </w:t>
      </w:r>
      <w:r w:rsidRPr="00A571E2">
        <w:rPr>
          <w:rFonts w:cstheme="minorHAnsi"/>
          <w:noProof/>
        </w:rPr>
        <w:t>K101605</w:t>
      </w:r>
      <w:r>
        <w:rPr>
          <w:rFonts w:cstheme="minorHAnsi"/>
          <w:noProof/>
        </w:rPr>
        <w:t xml:space="preserve"> -</w:t>
      </w:r>
      <w:r w:rsidRPr="00A571E2">
        <w:rPr>
          <w:rFonts w:cstheme="minorHAnsi"/>
          <w:noProof/>
        </w:rPr>
        <w:t xml:space="preserve"> Dogradnja dječjeg vrtića „Maslačak“</w:t>
      </w:r>
      <w:r>
        <w:rPr>
          <w:rFonts w:cstheme="minorHAnsi"/>
          <w:noProof/>
        </w:rPr>
        <w:t>.</w:t>
      </w:r>
      <w:r w:rsidRPr="00A571E2">
        <w:rPr>
          <w:rFonts w:cstheme="minorHAnsi"/>
          <w:noProof/>
        </w:rPr>
        <w:t xml:space="preserve">  </w:t>
      </w:r>
      <w:r w:rsidR="00A571E2">
        <w:rPr>
          <w:rFonts w:cstheme="minorHAnsi"/>
          <w:noProof/>
        </w:rPr>
        <w:t xml:space="preserve"> </w:t>
      </w:r>
    </w:p>
    <w:p w14:paraId="20A93EF9" w14:textId="119BB6DB" w:rsidR="005320B0" w:rsidRDefault="00480B26" w:rsidP="00EF34B8">
      <w:pPr>
        <w:rPr>
          <w:rFonts w:cstheme="minorHAnsi"/>
          <w:noProof/>
        </w:rPr>
      </w:pPr>
      <w:r w:rsidRPr="00C46295">
        <w:rPr>
          <w:rFonts w:cstheme="minorHAnsi"/>
          <w:noProof/>
        </w:rPr>
        <w:t xml:space="preserve">Ukupna vrijednost projekta iznosi </w:t>
      </w:r>
      <w:r w:rsidR="00A162EB">
        <w:rPr>
          <w:rFonts w:cstheme="minorHAnsi"/>
          <w:noProof/>
        </w:rPr>
        <w:t>1.121.000,00</w:t>
      </w:r>
      <w:r w:rsidRPr="00C46295">
        <w:rPr>
          <w:rFonts w:cstheme="minorHAnsi"/>
          <w:noProof/>
        </w:rPr>
        <w:t xml:space="preserve"> eura</w:t>
      </w:r>
      <w:r w:rsidR="005320B0">
        <w:rPr>
          <w:rFonts w:cstheme="minorHAnsi"/>
          <w:noProof/>
        </w:rPr>
        <w:t xml:space="preserve"> i isti</w:t>
      </w:r>
      <w:r w:rsidRPr="00C46295">
        <w:rPr>
          <w:rFonts w:cstheme="minorHAnsi"/>
          <w:noProof/>
        </w:rPr>
        <w:t xml:space="preserve"> se financira iz </w:t>
      </w:r>
      <w:r w:rsidR="00484D10">
        <w:rPr>
          <w:rFonts w:cstheme="minorHAnsi"/>
          <w:noProof/>
        </w:rPr>
        <w:t xml:space="preserve">sredstava pomoći </w:t>
      </w:r>
      <w:r w:rsidRPr="00C46295">
        <w:rPr>
          <w:rFonts w:cstheme="minorHAnsi"/>
          <w:noProof/>
        </w:rPr>
        <w:t xml:space="preserve">fondova </w:t>
      </w:r>
      <w:r w:rsidR="00A162EB">
        <w:rPr>
          <w:rFonts w:cstheme="minorHAnsi"/>
          <w:noProof/>
        </w:rPr>
        <w:t>E</w:t>
      </w:r>
      <w:r w:rsidRPr="00C46295">
        <w:rPr>
          <w:rFonts w:cstheme="minorHAnsi"/>
          <w:noProof/>
        </w:rPr>
        <w:t xml:space="preserve">uropske unije u iznosu od </w:t>
      </w:r>
      <w:r w:rsidR="00A162EB">
        <w:rPr>
          <w:rFonts w:cstheme="minorHAnsi"/>
          <w:noProof/>
        </w:rPr>
        <w:t>487.359,00</w:t>
      </w:r>
      <w:r w:rsidRPr="00C46295">
        <w:rPr>
          <w:rFonts w:cstheme="minorHAnsi"/>
          <w:noProof/>
        </w:rPr>
        <w:t xml:space="preserve"> eura</w:t>
      </w:r>
      <w:r w:rsidR="00904D64">
        <w:rPr>
          <w:rFonts w:cstheme="minorHAnsi"/>
          <w:noProof/>
        </w:rPr>
        <w:t>,</w:t>
      </w:r>
      <w:r w:rsidR="00A571E2">
        <w:rPr>
          <w:rFonts w:cstheme="minorHAnsi"/>
          <w:noProof/>
        </w:rPr>
        <w:t xml:space="preserve"> sukladno Ugovoru o dodjeli bespovratnih sr</w:t>
      </w:r>
      <w:r w:rsidR="00904D64">
        <w:rPr>
          <w:rFonts w:cstheme="minorHAnsi"/>
          <w:noProof/>
        </w:rPr>
        <w:t>e</w:t>
      </w:r>
      <w:r w:rsidR="00A571E2">
        <w:rPr>
          <w:rFonts w:cstheme="minorHAnsi"/>
          <w:noProof/>
        </w:rPr>
        <w:t>dstava za projekte koji se financiraju iz mahanizma za oporavak i otpornost, NPOO.C3.1.R1-11.02.02121</w:t>
      </w:r>
      <w:r w:rsidRPr="00C46295">
        <w:rPr>
          <w:rFonts w:cstheme="minorHAnsi"/>
          <w:noProof/>
        </w:rPr>
        <w:t>,</w:t>
      </w:r>
      <w:r w:rsidR="00A571E2">
        <w:rPr>
          <w:rFonts w:cstheme="minorHAnsi"/>
          <w:noProof/>
        </w:rPr>
        <w:t xml:space="preserve"> sklopljenim sa Ministarstvom znanosti i obrazovanja</w:t>
      </w:r>
      <w:r w:rsidR="00171E37">
        <w:rPr>
          <w:rFonts w:cstheme="minorHAnsi"/>
          <w:noProof/>
        </w:rPr>
        <w:t xml:space="preserve"> i</w:t>
      </w:r>
      <w:r w:rsidRPr="00C46295">
        <w:rPr>
          <w:rFonts w:cstheme="minorHAnsi"/>
          <w:noProof/>
        </w:rPr>
        <w:t xml:space="preserve"> </w:t>
      </w:r>
      <w:r w:rsidR="00484D10">
        <w:rPr>
          <w:rFonts w:cstheme="minorHAnsi"/>
          <w:noProof/>
        </w:rPr>
        <w:t>dugoročnog kredita</w:t>
      </w:r>
      <w:r w:rsidRPr="00C46295">
        <w:rPr>
          <w:rFonts w:cstheme="minorHAnsi"/>
          <w:noProof/>
        </w:rPr>
        <w:t xml:space="preserve">  u iznosu od</w:t>
      </w:r>
      <w:r w:rsidR="00171E37">
        <w:rPr>
          <w:rFonts w:cstheme="minorHAnsi"/>
          <w:noProof/>
        </w:rPr>
        <w:t xml:space="preserve"> 633.641,00</w:t>
      </w:r>
      <w:r w:rsidRPr="00C46295">
        <w:rPr>
          <w:rFonts w:cstheme="minorHAnsi"/>
          <w:noProof/>
        </w:rPr>
        <w:t xml:space="preserve"> eura – izvor namjenski primici od zaduživanja. </w:t>
      </w:r>
    </w:p>
    <w:p w14:paraId="5BB79BD0" w14:textId="77777777" w:rsidR="0016329A" w:rsidRPr="00484D10" w:rsidRDefault="0016329A" w:rsidP="00484D10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 xml:space="preserve">-  </w:t>
      </w:r>
      <w:bookmarkStart w:id="3" w:name="_Hlk169118817"/>
      <w:r w:rsidRPr="00484D10">
        <w:rPr>
          <w:rFonts w:cstheme="minorHAnsi"/>
          <w:noProof/>
        </w:rPr>
        <w:t>Kapitalni projekt K101606  Obnova dječjeg vrtića „Maslačak“ – objekt na adresi Petra Svačića 11D, Garešnica – Faza I</w:t>
      </w:r>
      <w:bookmarkEnd w:id="3"/>
      <w:r w:rsidRPr="00484D10">
        <w:rPr>
          <w:rFonts w:cstheme="minorHAnsi"/>
          <w:noProof/>
        </w:rPr>
        <w:t xml:space="preserve">  u iznosu od 245.000,00 eura. </w:t>
      </w:r>
    </w:p>
    <w:p w14:paraId="422226ED" w14:textId="75120584" w:rsidR="00484D10" w:rsidRDefault="00484D10" w:rsidP="00484D10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Investicija je planirana u Proračunu Grada Garešnice, Razdjel 002 Upravni odjel za društvene djelatnosti, imovinu i opće poslove, Glava 00201 Upravni odjel za društvene djelatnosti, imovinu i opće poslove, Program 1016 Predškolsko obrazovanje, Kapitalni projekt </w:t>
      </w:r>
      <w:r w:rsidRPr="00A571E2">
        <w:rPr>
          <w:rFonts w:cstheme="minorHAnsi"/>
          <w:noProof/>
        </w:rPr>
        <w:t>K10160</w:t>
      </w:r>
      <w:r>
        <w:rPr>
          <w:rFonts w:cstheme="minorHAnsi"/>
          <w:noProof/>
        </w:rPr>
        <w:t xml:space="preserve">6 - </w:t>
      </w:r>
      <w:r w:rsidRPr="00484D10">
        <w:rPr>
          <w:rFonts w:cstheme="minorHAnsi"/>
          <w:noProof/>
        </w:rPr>
        <w:t>Obnova dječjeg vrtića „Maslačak“ – objekt na adresi Petra Svačića 11D, Garešnica – Faza I</w:t>
      </w:r>
      <w:r w:rsidRPr="00A571E2">
        <w:rPr>
          <w:rFonts w:cstheme="minorHAnsi"/>
          <w:noProof/>
        </w:rPr>
        <w:t xml:space="preserve"> </w:t>
      </w:r>
      <w:r w:rsidR="001B7CC7">
        <w:rPr>
          <w:rFonts w:cstheme="minorHAnsi"/>
          <w:noProof/>
        </w:rPr>
        <w:t>.</w:t>
      </w:r>
    </w:p>
    <w:p w14:paraId="43FBCDE3" w14:textId="77777777" w:rsidR="001B7CC7" w:rsidRDefault="001B7CC7" w:rsidP="00484D10">
      <w:pPr>
        <w:rPr>
          <w:rFonts w:cstheme="minorHAnsi"/>
          <w:noProof/>
        </w:rPr>
      </w:pPr>
    </w:p>
    <w:p w14:paraId="298D839B" w14:textId="77777777" w:rsidR="001B7CC7" w:rsidRDefault="001B7CC7" w:rsidP="00484D10">
      <w:pPr>
        <w:rPr>
          <w:rFonts w:cstheme="minorHAnsi"/>
          <w:noProof/>
        </w:rPr>
      </w:pPr>
    </w:p>
    <w:p w14:paraId="25E7E5C9" w14:textId="77777777" w:rsidR="001B7CC7" w:rsidRDefault="001B7CC7" w:rsidP="00484D10">
      <w:pPr>
        <w:rPr>
          <w:rFonts w:cstheme="minorHAnsi"/>
          <w:noProof/>
        </w:rPr>
      </w:pPr>
    </w:p>
    <w:p w14:paraId="2A1CF2D0" w14:textId="4EDB831B" w:rsidR="00124025" w:rsidRDefault="0016329A" w:rsidP="00D22803">
      <w:pPr>
        <w:rPr>
          <w:rFonts w:cstheme="minorHAnsi"/>
          <w:noProof/>
        </w:rPr>
      </w:pPr>
      <w:r w:rsidRPr="00484D10">
        <w:rPr>
          <w:rFonts w:cstheme="minorHAnsi"/>
          <w:noProof/>
        </w:rPr>
        <w:t>Ukupna vrijednost projekta iznosi 315.000,00 eura i isti se financira iz</w:t>
      </w:r>
      <w:r w:rsidR="00484D10">
        <w:rPr>
          <w:rFonts w:cstheme="minorHAnsi"/>
          <w:noProof/>
        </w:rPr>
        <w:t>:</w:t>
      </w:r>
      <w:r w:rsidRPr="00484D10">
        <w:rPr>
          <w:rFonts w:cstheme="minorHAnsi"/>
          <w:noProof/>
        </w:rPr>
        <w:t xml:space="preserve"> </w:t>
      </w:r>
      <w:r w:rsidR="00D22803">
        <w:rPr>
          <w:rFonts w:cstheme="minorHAnsi"/>
          <w:noProof/>
        </w:rPr>
        <w:t xml:space="preserve">sredstava pomoći iz </w:t>
      </w:r>
      <w:r w:rsidRPr="00484D10">
        <w:rPr>
          <w:rFonts w:cstheme="minorHAnsi"/>
          <w:noProof/>
        </w:rPr>
        <w:t>državnog proračuna u iznosu od 70.000,00 eura</w:t>
      </w:r>
      <w:r w:rsidR="00484D10">
        <w:rPr>
          <w:rFonts w:cstheme="minorHAnsi"/>
          <w:noProof/>
        </w:rPr>
        <w:t xml:space="preserve"> temeljem Odluke  Ministarstva regionalnog razvoja i fondova Europske unije i </w:t>
      </w:r>
      <w:r w:rsidR="00D22803">
        <w:rPr>
          <w:rFonts w:cstheme="minorHAnsi"/>
          <w:noProof/>
        </w:rPr>
        <w:t>i</w:t>
      </w:r>
      <w:r w:rsidR="00D22803" w:rsidRPr="00C46295">
        <w:rPr>
          <w:rFonts w:cstheme="minorHAnsi"/>
          <w:noProof/>
        </w:rPr>
        <w:t xml:space="preserve"> </w:t>
      </w:r>
      <w:r w:rsidR="00D22803">
        <w:rPr>
          <w:rFonts w:cstheme="minorHAnsi"/>
          <w:noProof/>
        </w:rPr>
        <w:t>dugoročnog kredita</w:t>
      </w:r>
      <w:r w:rsidR="00D22803" w:rsidRPr="00C46295">
        <w:rPr>
          <w:rFonts w:cstheme="minorHAnsi"/>
          <w:noProof/>
        </w:rPr>
        <w:t xml:space="preserve"> u iznosu od</w:t>
      </w:r>
      <w:r w:rsidR="00D22803">
        <w:rPr>
          <w:rFonts w:cstheme="minorHAnsi"/>
          <w:noProof/>
        </w:rPr>
        <w:t xml:space="preserve"> 245.000,00</w:t>
      </w:r>
      <w:r w:rsidR="00D22803" w:rsidRPr="00C46295">
        <w:rPr>
          <w:rFonts w:cstheme="minorHAnsi"/>
          <w:noProof/>
        </w:rPr>
        <w:t xml:space="preserve"> eura – izvor namjenski primici od zaduživanja. </w:t>
      </w:r>
    </w:p>
    <w:p w14:paraId="55962DA6" w14:textId="251ACDA6" w:rsidR="00D22803" w:rsidRDefault="00D22803" w:rsidP="00D22803">
      <w:pPr>
        <w:numPr>
          <w:ilvl w:val="0"/>
          <w:numId w:val="3"/>
        </w:numPr>
        <w:ind w:left="0" w:firstLine="360"/>
        <w:rPr>
          <w:rFonts w:cstheme="minorHAnsi"/>
          <w:noProof/>
        </w:rPr>
      </w:pPr>
      <w:bookmarkStart w:id="4" w:name="_Hlk169118728"/>
      <w:r>
        <w:rPr>
          <w:rFonts w:cstheme="minorHAnsi"/>
          <w:noProof/>
        </w:rPr>
        <w:t>K</w:t>
      </w:r>
      <w:r w:rsidRPr="00D22803">
        <w:rPr>
          <w:rFonts w:cstheme="minorHAnsi"/>
          <w:noProof/>
        </w:rPr>
        <w:t>apitaln</w:t>
      </w:r>
      <w:r>
        <w:rPr>
          <w:rFonts w:cstheme="minorHAnsi"/>
          <w:noProof/>
        </w:rPr>
        <w:t>i</w:t>
      </w:r>
      <w:r w:rsidRPr="00D22803">
        <w:rPr>
          <w:rFonts w:cstheme="minorHAnsi"/>
          <w:noProof/>
        </w:rPr>
        <w:t xml:space="preserve"> projekt K100404 Sanacija odlagališta komunalnog otpada „Johovača“ </w:t>
      </w:r>
      <w:bookmarkEnd w:id="4"/>
      <w:r w:rsidRPr="00D22803">
        <w:rPr>
          <w:rFonts w:cstheme="minorHAnsi"/>
          <w:noProof/>
        </w:rPr>
        <w:t>u iznosu od 393.756,00 eura.</w:t>
      </w:r>
    </w:p>
    <w:p w14:paraId="6F56C928" w14:textId="2A57628F" w:rsidR="00D22803" w:rsidRPr="00D22803" w:rsidRDefault="00D22803" w:rsidP="00D22803">
      <w:pPr>
        <w:rPr>
          <w:rFonts w:cstheme="minorHAnsi"/>
          <w:noProof/>
        </w:rPr>
      </w:pPr>
      <w:r>
        <w:rPr>
          <w:rFonts w:cstheme="minorHAnsi"/>
          <w:noProof/>
        </w:rPr>
        <w:t>Investicija je planirana u Proračunu Grada Garešnice, Razdjel 004 Upravni odjel za gospodarstvo i komunalni sustav, Glava 00401 Upravni odjel za gospodarstvo i komunalni sustav, Program 004 Zaštita okoliša i prirode, Kapitalni projekt K100404 Sanacija odlagališta komunalnog otpada „Johovača“</w:t>
      </w:r>
      <w:r w:rsidR="005320B0">
        <w:rPr>
          <w:rFonts w:cstheme="minorHAnsi"/>
          <w:noProof/>
        </w:rPr>
        <w:t>.</w:t>
      </w:r>
    </w:p>
    <w:p w14:paraId="7F3754F6" w14:textId="43368047" w:rsidR="005320B0" w:rsidRDefault="00D22803" w:rsidP="005320B0">
      <w:pPr>
        <w:rPr>
          <w:rFonts w:cstheme="minorHAnsi"/>
          <w:noProof/>
        </w:rPr>
      </w:pPr>
      <w:r w:rsidRPr="00D22803">
        <w:rPr>
          <w:rFonts w:cstheme="minorHAnsi"/>
          <w:noProof/>
        </w:rPr>
        <w:t xml:space="preserve">Ukupna vrijednost projekta iznosi 1.570.000,00 eura i isti se </w:t>
      </w:r>
      <w:r w:rsidR="005320B0">
        <w:rPr>
          <w:rFonts w:cstheme="minorHAnsi"/>
          <w:noProof/>
        </w:rPr>
        <w:t xml:space="preserve">financira iz: sredstava pomoći </w:t>
      </w:r>
      <w:r w:rsidRPr="00D22803">
        <w:rPr>
          <w:rFonts w:cstheme="minorHAnsi"/>
          <w:noProof/>
        </w:rPr>
        <w:t xml:space="preserve"> Fonda za zaštitu okoliša i energetsku učinkovitost u iznosu od 942.000,00 eura</w:t>
      </w:r>
      <w:r w:rsidR="005320B0">
        <w:rPr>
          <w:rFonts w:cstheme="minorHAnsi"/>
          <w:noProof/>
        </w:rPr>
        <w:t>,</w:t>
      </w:r>
      <w:r w:rsidRPr="00D22803">
        <w:rPr>
          <w:rFonts w:cstheme="minorHAnsi"/>
          <w:noProof/>
        </w:rPr>
        <w:t xml:space="preserve"> kapitalnih pomoći iz proračuna Općine Hercegovac, Općine Velika Trnovitica i Općine Berek u iznosu od 234.244,00 eura</w:t>
      </w:r>
      <w:r w:rsidR="005320B0">
        <w:rPr>
          <w:rFonts w:cstheme="minorHAnsi"/>
          <w:noProof/>
        </w:rPr>
        <w:t xml:space="preserve"> i dugoročnog kredita</w:t>
      </w:r>
      <w:r w:rsidR="005320B0" w:rsidRPr="00C46295">
        <w:rPr>
          <w:rFonts w:cstheme="minorHAnsi"/>
          <w:noProof/>
        </w:rPr>
        <w:t xml:space="preserve">  u iznosu od</w:t>
      </w:r>
      <w:r w:rsidR="005320B0">
        <w:rPr>
          <w:rFonts w:cstheme="minorHAnsi"/>
          <w:noProof/>
        </w:rPr>
        <w:t xml:space="preserve"> 393.756,00 eura</w:t>
      </w:r>
      <w:r w:rsidR="005320B0" w:rsidRPr="00C46295">
        <w:rPr>
          <w:rFonts w:cstheme="minorHAnsi"/>
          <w:noProof/>
        </w:rPr>
        <w:t xml:space="preserve"> – izvor namjenski primici od zaduživanja. </w:t>
      </w:r>
    </w:p>
    <w:p w14:paraId="70FECBBD" w14:textId="0F776759" w:rsidR="00EF34B8" w:rsidRPr="00C46295" w:rsidRDefault="00EF34B8" w:rsidP="00EF34B8">
      <w:pPr>
        <w:numPr>
          <w:ilvl w:val="0"/>
          <w:numId w:val="2"/>
        </w:numPr>
        <w:ind w:left="0" w:firstLine="567"/>
        <w:rPr>
          <w:rFonts w:cstheme="minorHAnsi"/>
          <w:noProof/>
        </w:rPr>
      </w:pPr>
      <w:bookmarkStart w:id="5" w:name="_Hlk169117061"/>
      <w:r>
        <w:rPr>
          <w:rFonts w:cstheme="minorHAnsi"/>
          <w:noProof/>
        </w:rPr>
        <w:t xml:space="preserve">Kapitalni projekt </w:t>
      </w:r>
      <w:r w:rsidRPr="00EF34B8">
        <w:rPr>
          <w:rFonts w:cstheme="minorHAnsi"/>
          <w:noProof/>
        </w:rPr>
        <w:t xml:space="preserve">K101116 Rekonstrukcija Ulice Vladimira Nazora i Trga hrvatskih branitelja </w:t>
      </w:r>
      <w:bookmarkEnd w:id="5"/>
      <w:r w:rsidRPr="00EF34B8">
        <w:rPr>
          <w:rFonts w:cstheme="minorHAnsi"/>
          <w:noProof/>
        </w:rPr>
        <w:t xml:space="preserve">u ukupnom iznosu od </w:t>
      </w:r>
      <w:r>
        <w:rPr>
          <w:rFonts w:cstheme="minorHAnsi"/>
          <w:noProof/>
        </w:rPr>
        <w:t>2.378.750,00</w:t>
      </w:r>
      <w:r w:rsidRPr="00EF34B8">
        <w:rPr>
          <w:rFonts w:cstheme="minorHAnsi"/>
          <w:noProof/>
        </w:rPr>
        <w:t xml:space="preserve"> eura</w:t>
      </w:r>
      <w:r>
        <w:rPr>
          <w:rFonts w:cstheme="minorHAnsi"/>
          <w:noProof/>
        </w:rPr>
        <w:t>,</w:t>
      </w:r>
      <w:r w:rsidRPr="00EF34B8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na način da će se u 2024. godini zadužiti za 1.200.000,00 eura, a 2025. godine za 1.178.750,00 eura, sukladno terminskom planu i dinamici izvođenja radova na projektu.</w:t>
      </w:r>
    </w:p>
    <w:p w14:paraId="06C3DF5F" w14:textId="08BFDD91" w:rsidR="00EF34B8" w:rsidRDefault="00EF34B8" w:rsidP="00EF34B8">
      <w:pPr>
        <w:rPr>
          <w:rFonts w:cstheme="minorHAnsi"/>
          <w:noProof/>
        </w:rPr>
      </w:pPr>
      <w:r>
        <w:rPr>
          <w:rFonts w:cstheme="minorHAnsi"/>
          <w:noProof/>
        </w:rPr>
        <w:t>Investicija je planirana u Proračunu Grada Garešnice, Razdjel 004 Upravni odjel za gospodarstvo i komunalni sustav, Glava 00401 Upravni odjel za gospodarstvo i komunalni sustav, Program 1011 Izgradnja komunalne infrastrukture, Kapitalni projekt K101116 Rekonstrukcija Ulice Vladimira Nazora i Trga hrvatskih branitelja</w:t>
      </w:r>
      <w:r w:rsidR="00425D8C">
        <w:rPr>
          <w:rFonts w:cstheme="minorHAnsi"/>
          <w:noProof/>
        </w:rPr>
        <w:t>.</w:t>
      </w:r>
    </w:p>
    <w:p w14:paraId="7A79C78D" w14:textId="74D10BA4" w:rsidR="00425D8C" w:rsidRPr="00EF34B8" w:rsidRDefault="00425D8C" w:rsidP="00EF34B8">
      <w:pPr>
        <w:rPr>
          <w:rFonts w:cstheme="minorHAnsi"/>
          <w:noProof/>
        </w:rPr>
      </w:pPr>
      <w:r>
        <w:rPr>
          <w:rFonts w:cstheme="minorHAnsi"/>
          <w:noProof/>
        </w:rPr>
        <w:t>Ukupna vrijednost projekta iznosi 2.378.750,00 eura i isti se financira iz sredstava dugoročnog kredita</w:t>
      </w:r>
      <w:r w:rsidR="002775F4">
        <w:rPr>
          <w:rFonts w:cstheme="minorHAnsi"/>
          <w:noProof/>
        </w:rPr>
        <w:t xml:space="preserve"> - </w:t>
      </w:r>
      <w:r>
        <w:rPr>
          <w:rFonts w:cstheme="minorHAnsi"/>
          <w:noProof/>
        </w:rPr>
        <w:t xml:space="preserve"> izvor namjenski primici od zaduživanja.</w:t>
      </w:r>
    </w:p>
    <w:p w14:paraId="7D622BDE" w14:textId="650582C2" w:rsidR="00D22803" w:rsidRPr="00425D8C" w:rsidRDefault="00425D8C" w:rsidP="00425D8C">
      <w:pPr>
        <w:pStyle w:val="Odlomakpopisa"/>
        <w:numPr>
          <w:ilvl w:val="0"/>
          <w:numId w:val="2"/>
        </w:numPr>
        <w:ind w:left="0" w:firstLine="567"/>
        <w:rPr>
          <w:rFonts w:cstheme="minorHAnsi"/>
          <w:noProof/>
        </w:rPr>
      </w:pPr>
      <w:bookmarkStart w:id="6" w:name="_Hlk169117119"/>
      <w:r w:rsidRPr="00425D8C">
        <w:rPr>
          <w:rFonts w:cstheme="minorHAnsi"/>
          <w:noProof/>
        </w:rPr>
        <w:t xml:space="preserve">Kapitalni projekt K100319 Izgradnja Parka za pse </w:t>
      </w:r>
      <w:bookmarkEnd w:id="6"/>
      <w:r w:rsidRPr="00425D8C">
        <w:rPr>
          <w:rFonts w:cstheme="minorHAnsi"/>
          <w:noProof/>
        </w:rPr>
        <w:t>u iznosu od 192.423,00 eura.</w:t>
      </w:r>
    </w:p>
    <w:p w14:paraId="2DFBA614" w14:textId="771D9316" w:rsidR="00425D8C" w:rsidRDefault="00425D8C" w:rsidP="00D22803">
      <w:pPr>
        <w:rPr>
          <w:rFonts w:cstheme="minorHAnsi"/>
          <w:noProof/>
        </w:rPr>
      </w:pPr>
      <w:r>
        <w:rPr>
          <w:rFonts w:cstheme="minorHAnsi"/>
          <w:noProof/>
        </w:rPr>
        <w:t>Investicija je planirana u Proračunu Grada Garešnice, Razdjel 004 Upravni odjel za gospodarstvo i komunalni sustav, Glava 00401 Upravni odjel za gospodarstvo i komunalni sustav, Program 1003 Priprema i donošenje akata iz djelokruga tijela, Kapitalni projekt K100319 Izgradnja Parka za pse.</w:t>
      </w:r>
    </w:p>
    <w:p w14:paraId="19AC5F90" w14:textId="692B41BD" w:rsidR="0016329A" w:rsidRPr="00484D10" w:rsidRDefault="00425D8C" w:rsidP="005055F7">
      <w:pPr>
        <w:rPr>
          <w:rFonts w:cstheme="minorHAnsi"/>
          <w:noProof/>
        </w:rPr>
      </w:pPr>
      <w:r>
        <w:rPr>
          <w:rFonts w:cstheme="minorHAnsi"/>
          <w:noProof/>
        </w:rPr>
        <w:t>Ukupna vrijednost projekta iznosi 223.000,00 eura i isti se financira iz: sredstava kapitalnih pomoći</w:t>
      </w:r>
      <w:r w:rsidRPr="00425D8C">
        <w:rPr>
          <w:rFonts w:cstheme="minorHAnsi"/>
          <w:noProof/>
        </w:rPr>
        <w:t xml:space="preserve"> </w:t>
      </w:r>
      <w:r w:rsidRPr="00D22803">
        <w:rPr>
          <w:rFonts w:cstheme="minorHAnsi"/>
          <w:noProof/>
        </w:rPr>
        <w:t>Fonda za zaštitu okoliša i energetsku učinkovitost</w:t>
      </w:r>
      <w:r>
        <w:rPr>
          <w:rFonts w:cstheme="minorHAnsi"/>
          <w:noProof/>
        </w:rPr>
        <w:t xml:space="preserve"> u iznosu </w:t>
      </w:r>
      <w:r w:rsidR="005055F7">
        <w:rPr>
          <w:rFonts w:cstheme="minorHAnsi"/>
          <w:noProof/>
        </w:rPr>
        <w:t>od 30.577,00 eura i sredstava dugoročnog kredita</w:t>
      </w:r>
      <w:r w:rsidR="002775F4">
        <w:rPr>
          <w:rFonts w:cstheme="minorHAnsi"/>
          <w:noProof/>
        </w:rPr>
        <w:t xml:space="preserve"> u iznosu od 192.423,00 - </w:t>
      </w:r>
      <w:r w:rsidR="005055F7">
        <w:rPr>
          <w:rFonts w:cstheme="minorHAnsi"/>
          <w:noProof/>
        </w:rPr>
        <w:t xml:space="preserve"> izvor namjenski primici od zaduživanja.</w:t>
      </w:r>
    </w:p>
    <w:p w14:paraId="4872EF8B" w14:textId="7A4D9E69" w:rsidR="00EF34B8" w:rsidRDefault="00EF34B8" w:rsidP="00EF34B8">
      <w:pPr>
        <w:ind w:firstLine="567"/>
        <w:rPr>
          <w:rFonts w:cstheme="minorHAnsi"/>
          <w:noProof/>
        </w:rPr>
      </w:pPr>
      <w:r w:rsidRPr="00C46295">
        <w:rPr>
          <w:rFonts w:cstheme="minorHAnsi"/>
          <w:noProof/>
        </w:rPr>
        <w:t xml:space="preserve">Otplata glavnice kredita planira se na rok od 10 (deset) godina </w:t>
      </w:r>
      <w:r>
        <w:rPr>
          <w:rFonts w:cstheme="minorHAnsi"/>
          <w:noProof/>
        </w:rPr>
        <w:t>nakon isteka korištenja kredita.</w:t>
      </w:r>
      <w:r w:rsidR="002775F4">
        <w:rPr>
          <w:rFonts w:cstheme="minorHAnsi"/>
          <w:noProof/>
        </w:rPr>
        <w:t xml:space="preserve"> Rok korištenja kredita do 31.12.2025. godine.</w:t>
      </w:r>
    </w:p>
    <w:bookmarkEnd w:id="2"/>
    <w:p w14:paraId="7C5C715F" w14:textId="57C983B6" w:rsidR="00EF34B8" w:rsidRDefault="00EF34B8" w:rsidP="00EF34B8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>Rashodi na ime naknade za obradu kreditnih zahtjeva  planirani su u Proračunu za 2024. godinu i projekcijama za 2025. i 2026. godinu, Razdjel 003 Upravni odjel za financije, Glava 00301 Upravni odjel za financije, Program 021 Priprema i donošenje akata iz djelokruga tijela, Aktivnost A102101 Redovan rad upravnog odjela</w:t>
      </w:r>
      <w:r w:rsidR="002775F4">
        <w:rPr>
          <w:rFonts w:cstheme="minorHAnsi"/>
          <w:noProof/>
        </w:rPr>
        <w:t>.</w:t>
      </w:r>
    </w:p>
    <w:p w14:paraId="17C29CB2" w14:textId="3782B3C6" w:rsidR="009F7494" w:rsidRDefault="00376F2D" w:rsidP="00EF34B8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>Izdaci za otplatu zajmova i r</w:t>
      </w:r>
      <w:r w:rsidR="009F7494">
        <w:rPr>
          <w:rFonts w:cstheme="minorHAnsi"/>
          <w:noProof/>
        </w:rPr>
        <w:t>ashodi na ime troškova kredita (kamata) planirani su u Proračunu za 2024. godinu i projekcijama za 2025. i 2026. godinu, Razdjel 003 Upravni odjel za financije, Glava 00301 Upravni odjel za financije, Program 021 Priprema i donošenje akata iz djelokruga tijela, Aktivnost A102102 Zaduživanje.</w:t>
      </w:r>
    </w:p>
    <w:p w14:paraId="69D39000" w14:textId="06F16731" w:rsidR="00935CBF" w:rsidRDefault="006B68EF" w:rsidP="00DD5A88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 xml:space="preserve">Dugoročno zaduženje početkom 2024. godine iznosi </w:t>
      </w:r>
      <w:r w:rsidR="00B072F7">
        <w:rPr>
          <w:rFonts w:cstheme="minorHAnsi"/>
          <w:noProof/>
        </w:rPr>
        <w:t xml:space="preserve">61.191,56 eura temeljem </w:t>
      </w:r>
      <w:r w:rsidR="00B072F7" w:rsidRPr="00B072F7">
        <w:rPr>
          <w:rFonts w:cstheme="minorHAnsi"/>
          <w:noProof/>
        </w:rPr>
        <w:t>beskamatn</w:t>
      </w:r>
      <w:r w:rsidR="00B072F7">
        <w:rPr>
          <w:rFonts w:cstheme="minorHAnsi"/>
          <w:noProof/>
        </w:rPr>
        <w:t>og</w:t>
      </w:r>
      <w:r w:rsidR="00B072F7" w:rsidRPr="00B072F7">
        <w:rPr>
          <w:rFonts w:cstheme="minorHAnsi"/>
          <w:noProof/>
        </w:rPr>
        <w:t xml:space="preserve"> zajm</w:t>
      </w:r>
      <w:r w:rsidR="00B072F7">
        <w:rPr>
          <w:rFonts w:cstheme="minorHAnsi"/>
          <w:noProof/>
        </w:rPr>
        <w:t>a</w:t>
      </w:r>
      <w:r w:rsidR="00B072F7" w:rsidRPr="00B072F7">
        <w:rPr>
          <w:rFonts w:cstheme="minorHAnsi"/>
          <w:noProof/>
        </w:rPr>
        <w:t xml:space="preserve"> </w:t>
      </w:r>
      <w:r w:rsidR="00B072F7">
        <w:rPr>
          <w:rFonts w:cstheme="minorHAnsi"/>
          <w:noProof/>
        </w:rPr>
        <w:t>iz državnog proračuna</w:t>
      </w:r>
      <w:r w:rsidR="00B072F7" w:rsidRPr="00B072F7">
        <w:rPr>
          <w:rFonts w:cstheme="minorHAnsi"/>
          <w:noProof/>
        </w:rPr>
        <w:t xml:space="preserve"> po osnovi odgode plaćanja poreza na dohodak i prireza porezu na dohodak </w:t>
      </w:r>
      <w:r w:rsidR="00B072F7">
        <w:rPr>
          <w:rFonts w:cstheme="minorHAnsi"/>
          <w:noProof/>
        </w:rPr>
        <w:t>odobrenog 2020. godine. Tijekom 2024. godine planir</w:t>
      </w:r>
      <w:r w:rsidR="002775F4">
        <w:rPr>
          <w:rFonts w:cstheme="minorHAnsi"/>
          <w:noProof/>
        </w:rPr>
        <w:t>a</w:t>
      </w:r>
      <w:r w:rsidR="00B072F7">
        <w:rPr>
          <w:rFonts w:cstheme="minorHAnsi"/>
          <w:noProof/>
        </w:rPr>
        <w:t xml:space="preserve"> </w:t>
      </w:r>
      <w:r w:rsidR="002775F4">
        <w:rPr>
          <w:rFonts w:cstheme="minorHAnsi"/>
          <w:noProof/>
        </w:rPr>
        <w:t>s</w:t>
      </w:r>
      <w:r w:rsidR="00B072F7">
        <w:rPr>
          <w:rFonts w:cstheme="minorHAnsi"/>
          <w:noProof/>
        </w:rPr>
        <w:t xml:space="preserve">e povrat dijela beskamatnog zajma u iznosu od 20.000,00 eura. </w:t>
      </w:r>
      <w:r w:rsidR="00E92CC6">
        <w:rPr>
          <w:rFonts w:cstheme="minorHAnsi"/>
          <w:noProof/>
        </w:rPr>
        <w:t>I</w:t>
      </w:r>
      <w:r w:rsidR="00DD5A88">
        <w:rPr>
          <w:rFonts w:cstheme="minorHAnsi"/>
          <w:noProof/>
        </w:rPr>
        <w:t xml:space="preserve">znos novog kreditnog zaduženja Grada Garešnice u 2024. godini temeljem dugoročnih kredita za investicije iznosi 2.544.179,00 eura. </w:t>
      </w:r>
      <w:r w:rsidR="00E92CC6">
        <w:rPr>
          <w:rFonts w:cstheme="minorHAnsi"/>
          <w:noProof/>
        </w:rPr>
        <w:t>I</w:t>
      </w:r>
      <w:r w:rsidR="00DD5A88">
        <w:rPr>
          <w:rFonts w:cstheme="minorHAnsi"/>
          <w:noProof/>
        </w:rPr>
        <w:t>znos</w:t>
      </w:r>
      <w:r w:rsidR="00926162">
        <w:rPr>
          <w:rFonts w:cstheme="minorHAnsi"/>
          <w:noProof/>
        </w:rPr>
        <w:t xml:space="preserve"> ukupnog</w:t>
      </w:r>
      <w:r w:rsidR="00DD5A88">
        <w:rPr>
          <w:rFonts w:cstheme="minorHAnsi"/>
          <w:noProof/>
        </w:rPr>
        <w:t xml:space="preserve"> kreditnog zaduženja na kraju proračunske godine, odnosno na dan 31.12.2024. godine iznosit će 2.585.370,56 eura.</w:t>
      </w:r>
      <w:r w:rsidR="002775F4">
        <w:rPr>
          <w:rFonts w:cstheme="minorHAnsi"/>
          <w:noProof/>
        </w:rPr>
        <w:t xml:space="preserve"> </w:t>
      </w:r>
    </w:p>
    <w:p w14:paraId="6F2640C8" w14:textId="7BD9F8CC" w:rsidR="002775F4" w:rsidRDefault="00E92CC6" w:rsidP="009A0F6B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>I</w:t>
      </w:r>
      <w:r w:rsidR="002775F4">
        <w:rPr>
          <w:rFonts w:cstheme="minorHAnsi"/>
          <w:noProof/>
        </w:rPr>
        <w:t>znos</w:t>
      </w:r>
      <w:r w:rsidR="00926162">
        <w:rPr>
          <w:rFonts w:cstheme="minorHAnsi"/>
          <w:noProof/>
        </w:rPr>
        <w:t xml:space="preserve"> novog</w:t>
      </w:r>
      <w:r w:rsidR="002775F4">
        <w:rPr>
          <w:rFonts w:cstheme="minorHAnsi"/>
          <w:noProof/>
        </w:rPr>
        <w:t xml:space="preserve"> kreditnog zaduženja</w:t>
      </w:r>
      <w:r>
        <w:rPr>
          <w:rFonts w:cstheme="minorHAnsi"/>
          <w:noProof/>
        </w:rPr>
        <w:t xml:space="preserve"> u 2025. godini temeljem</w:t>
      </w:r>
      <w:r w:rsidR="009A0F6B">
        <w:rPr>
          <w:rFonts w:cstheme="minorHAnsi"/>
          <w:noProof/>
        </w:rPr>
        <w:t xml:space="preserve"> povlačenja sredstava</w:t>
      </w:r>
      <w:r>
        <w:rPr>
          <w:rFonts w:cstheme="minorHAnsi"/>
          <w:noProof/>
        </w:rPr>
        <w:t xml:space="preserve"> dugoročnih kredita za investicije</w:t>
      </w:r>
      <w:r w:rsidR="00926162">
        <w:rPr>
          <w:rFonts w:cstheme="minorHAnsi"/>
          <w:noProof/>
        </w:rPr>
        <w:t xml:space="preserve"> u toj proračunskoj godini</w:t>
      </w:r>
      <w:r>
        <w:rPr>
          <w:rFonts w:cstheme="minorHAnsi"/>
          <w:noProof/>
        </w:rPr>
        <w:t xml:space="preserve"> iznosi 1.299.391,00 eura</w:t>
      </w:r>
      <w:r w:rsidR="009A0F6B">
        <w:rPr>
          <w:rFonts w:cstheme="minorHAnsi"/>
          <w:noProof/>
        </w:rPr>
        <w:t>.</w:t>
      </w:r>
    </w:p>
    <w:p w14:paraId="2B25D2AC" w14:textId="083C1022" w:rsidR="00926162" w:rsidRDefault="00926162" w:rsidP="009A0F6B">
      <w:pPr>
        <w:ind w:firstLine="567"/>
        <w:rPr>
          <w:rFonts w:cstheme="minorHAnsi"/>
          <w:noProof/>
        </w:rPr>
      </w:pPr>
      <w:r>
        <w:rPr>
          <w:rFonts w:cstheme="minorHAnsi"/>
          <w:noProof/>
        </w:rPr>
        <w:t>Iznos novog kreditnog zaduženja u 2026. godini iznosi 0,00 eura.</w:t>
      </w:r>
    </w:p>
    <w:p w14:paraId="353A2518" w14:textId="77777777" w:rsidR="009A0F6B" w:rsidRDefault="009A0F6B" w:rsidP="009A0F6B">
      <w:pPr>
        <w:ind w:firstLine="567"/>
        <w:rPr>
          <w:rFonts w:cstheme="minorHAnsi"/>
          <w:noProof/>
        </w:rPr>
      </w:pPr>
    </w:p>
    <w:p w14:paraId="60319149" w14:textId="4C670F8F" w:rsidR="00127838" w:rsidRDefault="00127838" w:rsidP="00127838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>Članak 3.</w:t>
      </w:r>
    </w:p>
    <w:p w14:paraId="1BDD0E2C" w14:textId="77777777" w:rsidR="008E5E32" w:rsidRDefault="008E5E32" w:rsidP="00FF5446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</w:p>
    <w:p w14:paraId="4FC23018" w14:textId="2105ECEC" w:rsidR="008E5E32" w:rsidRDefault="008E5E32" w:rsidP="00FB2393">
      <w:pPr>
        <w:widowControl w:val="0"/>
        <w:autoSpaceDE w:val="0"/>
        <w:autoSpaceDN w:val="0"/>
        <w:adjustRightInd w:val="0"/>
        <w:rPr>
          <w:rFonts w:cstheme="minorHAnsi"/>
          <w:noProof/>
        </w:rPr>
      </w:pPr>
      <w:r>
        <w:rPr>
          <w:rFonts w:cstheme="minorHAnsi"/>
          <w:noProof/>
        </w:rPr>
        <w:t xml:space="preserve">Ostale odredbe  Odluke </w:t>
      </w:r>
      <w:r>
        <w:t xml:space="preserve">o </w:t>
      </w:r>
      <w:r w:rsidR="008E276B" w:rsidRPr="008E276B">
        <w:t>izvršavanju proračuna Grada Garešnic</w:t>
      </w:r>
      <w:r w:rsidR="00281DA0">
        <w:t>a</w:t>
      </w:r>
      <w:r w:rsidR="008E276B" w:rsidRPr="008E276B">
        <w:t xml:space="preserve"> za 202</w:t>
      </w:r>
      <w:r w:rsidR="00453CC6">
        <w:t>4</w:t>
      </w:r>
      <w:r w:rsidR="008E276B" w:rsidRPr="008E276B">
        <w:t>. godinu</w:t>
      </w:r>
      <w:r w:rsidR="008E276B">
        <w:t xml:space="preserve"> </w:t>
      </w:r>
      <w:r>
        <w:rPr>
          <w:rFonts w:cstheme="minorHAnsi"/>
          <w:noProof/>
        </w:rPr>
        <w:t>ostaju neizmijenjene.</w:t>
      </w:r>
    </w:p>
    <w:p w14:paraId="2F71A8CA" w14:textId="77777777" w:rsidR="00127838" w:rsidRDefault="00127838" w:rsidP="008E5E32">
      <w:pPr>
        <w:widowControl w:val="0"/>
        <w:autoSpaceDE w:val="0"/>
        <w:autoSpaceDN w:val="0"/>
        <w:adjustRightInd w:val="0"/>
        <w:jc w:val="left"/>
        <w:rPr>
          <w:rFonts w:cstheme="minorHAnsi"/>
          <w:noProof/>
        </w:rPr>
      </w:pPr>
    </w:p>
    <w:p w14:paraId="1DB27A4F" w14:textId="77777777" w:rsidR="00094417" w:rsidRDefault="00094417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</w:p>
    <w:p w14:paraId="2DF5195D" w14:textId="55830061" w:rsidR="008E5E32" w:rsidRPr="005F5AE9" w:rsidRDefault="008E5E32" w:rsidP="008E5E32">
      <w:pPr>
        <w:widowControl w:val="0"/>
        <w:autoSpaceDE w:val="0"/>
        <w:autoSpaceDN w:val="0"/>
        <w:adjustRightInd w:val="0"/>
        <w:jc w:val="center"/>
        <w:rPr>
          <w:rFonts w:cstheme="minorHAnsi"/>
          <w:noProof/>
        </w:rPr>
      </w:pPr>
      <w:r>
        <w:rPr>
          <w:rFonts w:cstheme="minorHAnsi"/>
          <w:noProof/>
        </w:rPr>
        <w:t xml:space="preserve">Članak </w:t>
      </w:r>
      <w:r w:rsidR="00FF5446">
        <w:rPr>
          <w:rFonts w:cstheme="minorHAnsi"/>
          <w:noProof/>
        </w:rPr>
        <w:t>4</w:t>
      </w:r>
      <w:r>
        <w:rPr>
          <w:rFonts w:cstheme="minorHAnsi"/>
          <w:noProof/>
        </w:rPr>
        <w:t>.</w:t>
      </w:r>
    </w:p>
    <w:p w14:paraId="6EE25BFE" w14:textId="77777777" w:rsidR="008E5E32" w:rsidRDefault="008E5E32" w:rsidP="008E5E32">
      <w:pPr>
        <w:jc w:val="left"/>
      </w:pPr>
      <w:r>
        <w:t>Ova Odluka stupa na snagu osmog dana od dana objave u Službenom glasniku Grada Garešnice.</w:t>
      </w:r>
    </w:p>
    <w:p w14:paraId="333A55AF" w14:textId="77777777" w:rsidR="00094417" w:rsidRDefault="00094417" w:rsidP="008E5E32">
      <w:pPr>
        <w:jc w:val="left"/>
      </w:pPr>
    </w:p>
    <w:p w14:paraId="78190A69" w14:textId="77777777" w:rsidR="00094417" w:rsidRDefault="00094417" w:rsidP="008E5E32">
      <w:pPr>
        <w:jc w:val="left"/>
      </w:pPr>
    </w:p>
    <w:p w14:paraId="7743A514" w14:textId="77777777" w:rsidR="00094417" w:rsidRDefault="00094417" w:rsidP="008E5E32">
      <w:pPr>
        <w:jc w:val="left"/>
      </w:pPr>
    </w:p>
    <w:p w14:paraId="13BE25F7" w14:textId="77777777" w:rsidR="00A602F6" w:rsidRDefault="00A602F6" w:rsidP="008E5E32">
      <w:pPr>
        <w:jc w:val="left"/>
      </w:pPr>
    </w:p>
    <w:p w14:paraId="1B8329EA" w14:textId="66ED8984" w:rsidR="008E5E32" w:rsidRDefault="008E5E32" w:rsidP="008E5E32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CC7">
        <w:t>PREDSJEDNIK GRADSKOG VIJEĆA</w:t>
      </w:r>
    </w:p>
    <w:p w14:paraId="479FC2DA" w14:textId="77777777" w:rsidR="009A0F6B" w:rsidRDefault="009A0F6B" w:rsidP="008E5E32">
      <w:pPr>
        <w:jc w:val="left"/>
      </w:pPr>
    </w:p>
    <w:p w14:paraId="6396DD06" w14:textId="0A5CBA0B" w:rsidR="004A1109" w:rsidRDefault="00A602F6" w:rsidP="00A602F6">
      <w:r>
        <w:t xml:space="preserve">                                                                                                                              </w:t>
      </w:r>
      <w:r w:rsidR="008E5E32">
        <w:t>Željko Starčević</w:t>
      </w:r>
    </w:p>
    <w:p w14:paraId="506E7111" w14:textId="77777777" w:rsidR="00F64E9C" w:rsidRDefault="00F64E9C" w:rsidP="00A602F6"/>
    <w:p w14:paraId="366083F9" w14:textId="77777777" w:rsidR="00F64E9C" w:rsidRDefault="00F64E9C" w:rsidP="00A602F6"/>
    <w:p w14:paraId="1CF75EB3" w14:textId="77777777" w:rsidR="00F64E9C" w:rsidRDefault="00F64E9C" w:rsidP="00A602F6"/>
    <w:p w14:paraId="58B94E9E" w14:textId="77777777" w:rsidR="00F64E9C" w:rsidRDefault="00F64E9C" w:rsidP="00A602F6"/>
    <w:p w14:paraId="1008A159" w14:textId="77777777" w:rsidR="00F64E9C" w:rsidRDefault="00F64E9C" w:rsidP="00A602F6"/>
    <w:p w14:paraId="6874A405" w14:textId="77777777" w:rsidR="00F64E9C" w:rsidRDefault="00F64E9C" w:rsidP="00A602F6"/>
    <w:p w14:paraId="74802925" w14:textId="77777777" w:rsidR="00F64E9C" w:rsidRDefault="00F64E9C" w:rsidP="00A602F6"/>
    <w:p w14:paraId="5B7B28F3" w14:textId="77777777" w:rsidR="00F64E9C" w:rsidRDefault="00F64E9C" w:rsidP="00A602F6"/>
    <w:p w14:paraId="68B5F99D" w14:textId="77777777" w:rsidR="00F64E9C" w:rsidRDefault="00F64E9C" w:rsidP="00A602F6"/>
    <w:p w14:paraId="382C1814" w14:textId="77777777" w:rsidR="00F64E9C" w:rsidRDefault="00F64E9C" w:rsidP="00A602F6"/>
    <w:p w14:paraId="574BEDEA" w14:textId="77777777" w:rsidR="00F64E9C" w:rsidRDefault="00F64E9C" w:rsidP="00A602F6"/>
    <w:p w14:paraId="06545193" w14:textId="77777777" w:rsidR="00F64E9C" w:rsidRDefault="00F64E9C" w:rsidP="00A602F6"/>
    <w:p w14:paraId="442C82A3" w14:textId="77777777" w:rsidR="00F64E9C" w:rsidRDefault="00F64E9C" w:rsidP="00A602F6"/>
    <w:p w14:paraId="5FF054B0" w14:textId="77777777" w:rsidR="00F64E9C" w:rsidRDefault="00F64E9C" w:rsidP="00A602F6"/>
    <w:p w14:paraId="3CCF1C57" w14:textId="77777777" w:rsidR="00F64E9C" w:rsidRDefault="00F64E9C" w:rsidP="00A602F6"/>
    <w:p w14:paraId="533034BA" w14:textId="77777777" w:rsidR="00F64E9C" w:rsidRDefault="00F64E9C" w:rsidP="00A602F6"/>
    <w:p w14:paraId="38470F0F" w14:textId="77777777" w:rsidR="00F64E9C" w:rsidRDefault="00F64E9C" w:rsidP="00A602F6"/>
    <w:p w14:paraId="018CE290" w14:textId="77777777" w:rsidR="00F64E9C" w:rsidRDefault="00F64E9C" w:rsidP="00A602F6"/>
    <w:p w14:paraId="651C1A01" w14:textId="77777777" w:rsidR="00F64E9C" w:rsidRDefault="00F64E9C" w:rsidP="00A602F6"/>
    <w:p w14:paraId="6661C767" w14:textId="77777777" w:rsidR="00F64E9C" w:rsidRDefault="00F64E9C" w:rsidP="00A602F6"/>
    <w:p w14:paraId="35843264" w14:textId="77777777" w:rsidR="00F64E9C" w:rsidRDefault="00F64E9C" w:rsidP="00A602F6"/>
    <w:p w14:paraId="7F72FCC4" w14:textId="77777777" w:rsidR="00F64E9C" w:rsidRDefault="00F64E9C" w:rsidP="00A602F6"/>
    <w:p w14:paraId="3DCC1C7F" w14:textId="77777777" w:rsidR="00F64E9C" w:rsidRDefault="00F64E9C" w:rsidP="00A602F6"/>
    <w:p w14:paraId="497D141D" w14:textId="77777777" w:rsidR="00F64E9C" w:rsidRDefault="00F64E9C" w:rsidP="00A602F6"/>
    <w:p w14:paraId="775FB448" w14:textId="77777777" w:rsidR="00F64E9C" w:rsidRDefault="00F64E9C" w:rsidP="00A602F6"/>
    <w:p w14:paraId="27E8DB00" w14:textId="77777777" w:rsidR="00F64E9C" w:rsidRDefault="00F64E9C" w:rsidP="00A602F6"/>
    <w:p w14:paraId="77BC9DE0" w14:textId="77777777" w:rsidR="00F64E9C" w:rsidRDefault="00F64E9C" w:rsidP="00A602F6"/>
    <w:p w14:paraId="48636AA8" w14:textId="77777777" w:rsidR="00F64E9C" w:rsidRDefault="00F64E9C" w:rsidP="00A602F6"/>
    <w:p w14:paraId="6DD3C8F3" w14:textId="77777777" w:rsidR="00F64E9C" w:rsidRDefault="00F64E9C" w:rsidP="00A602F6"/>
    <w:p w14:paraId="1D0FC944" w14:textId="77777777" w:rsidR="00F64E9C" w:rsidRDefault="00F64E9C" w:rsidP="00A602F6"/>
    <w:p w14:paraId="4BD7AF69" w14:textId="77777777" w:rsidR="00F64E9C" w:rsidRDefault="00F64E9C" w:rsidP="00A602F6"/>
    <w:p w14:paraId="0EEA49E8" w14:textId="77777777" w:rsidR="00F64E9C" w:rsidRDefault="00F64E9C" w:rsidP="00A602F6"/>
    <w:p w14:paraId="2D23C20E" w14:textId="77777777" w:rsidR="00F64E9C" w:rsidRDefault="00F64E9C" w:rsidP="00A602F6"/>
    <w:p w14:paraId="38B2E17E" w14:textId="77777777" w:rsidR="00F64E9C" w:rsidRDefault="00F64E9C" w:rsidP="00A602F6"/>
    <w:p w14:paraId="1CD7E969" w14:textId="77777777" w:rsidR="00F64E9C" w:rsidRDefault="00F64E9C" w:rsidP="00A602F6"/>
    <w:p w14:paraId="136667F1" w14:textId="77777777" w:rsidR="00F64E9C" w:rsidRDefault="00F64E9C" w:rsidP="00A602F6"/>
    <w:p w14:paraId="6A35FF38" w14:textId="77777777" w:rsidR="00F64E9C" w:rsidRDefault="00F64E9C" w:rsidP="00A602F6"/>
    <w:p w14:paraId="209580F9" w14:textId="77777777" w:rsidR="00F64E9C" w:rsidRDefault="00F64E9C" w:rsidP="00A602F6"/>
    <w:p w14:paraId="6274E288" w14:textId="77777777" w:rsidR="00F64E9C" w:rsidRDefault="00F64E9C" w:rsidP="00A602F6"/>
    <w:p w14:paraId="1D75AD72" w14:textId="77777777" w:rsidR="00F64E9C" w:rsidRDefault="00F64E9C" w:rsidP="00A602F6"/>
    <w:p w14:paraId="795DB080" w14:textId="77777777" w:rsidR="00F64E9C" w:rsidRDefault="00F64E9C" w:rsidP="00A602F6"/>
    <w:p w14:paraId="01CCD57C" w14:textId="77777777" w:rsidR="00F64E9C" w:rsidRDefault="00F64E9C" w:rsidP="00A602F6"/>
    <w:p w14:paraId="27A9F236" w14:textId="77777777" w:rsidR="00F64E9C" w:rsidRDefault="00F64E9C" w:rsidP="00A602F6"/>
    <w:p w14:paraId="337718C5" w14:textId="77777777" w:rsidR="00F64E9C" w:rsidRDefault="00F64E9C" w:rsidP="00A602F6"/>
    <w:sectPr w:rsidR="00F64E9C" w:rsidSect="00A602F6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FEC"/>
    <w:multiLevelType w:val="hybridMultilevel"/>
    <w:tmpl w:val="7818B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492"/>
    <w:multiLevelType w:val="hybridMultilevel"/>
    <w:tmpl w:val="74EA9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5736745">
    <w:abstractNumId w:val="1"/>
  </w:num>
  <w:num w:numId="2" w16cid:durableId="1110123506">
    <w:abstractNumId w:val="4"/>
  </w:num>
  <w:num w:numId="3" w16cid:durableId="1002469247">
    <w:abstractNumId w:val="0"/>
  </w:num>
  <w:num w:numId="4" w16cid:durableId="1154443842">
    <w:abstractNumId w:val="2"/>
  </w:num>
  <w:num w:numId="5" w16cid:durableId="1908220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C"/>
    <w:rsid w:val="00094417"/>
    <w:rsid w:val="000A1D86"/>
    <w:rsid w:val="00124025"/>
    <w:rsid w:val="00127838"/>
    <w:rsid w:val="0016329A"/>
    <w:rsid w:val="00171E37"/>
    <w:rsid w:val="001B7CC7"/>
    <w:rsid w:val="001C3CF3"/>
    <w:rsid w:val="001C5D3A"/>
    <w:rsid w:val="00202887"/>
    <w:rsid w:val="002178A8"/>
    <w:rsid w:val="00241040"/>
    <w:rsid w:val="002775F4"/>
    <w:rsid w:val="00281DA0"/>
    <w:rsid w:val="002E5480"/>
    <w:rsid w:val="003077E7"/>
    <w:rsid w:val="00342258"/>
    <w:rsid w:val="00376F2D"/>
    <w:rsid w:val="00403245"/>
    <w:rsid w:val="00425D8C"/>
    <w:rsid w:val="00453CC6"/>
    <w:rsid w:val="00463455"/>
    <w:rsid w:val="00480B26"/>
    <w:rsid w:val="00484D10"/>
    <w:rsid w:val="004A1109"/>
    <w:rsid w:val="005055F7"/>
    <w:rsid w:val="005320B0"/>
    <w:rsid w:val="005323B0"/>
    <w:rsid w:val="005C62D6"/>
    <w:rsid w:val="005F0927"/>
    <w:rsid w:val="006B68EF"/>
    <w:rsid w:val="006C770B"/>
    <w:rsid w:val="006E554D"/>
    <w:rsid w:val="00755F28"/>
    <w:rsid w:val="00783211"/>
    <w:rsid w:val="007B1252"/>
    <w:rsid w:val="00857072"/>
    <w:rsid w:val="008C71C6"/>
    <w:rsid w:val="008E276B"/>
    <w:rsid w:val="008E5E32"/>
    <w:rsid w:val="00904D64"/>
    <w:rsid w:val="00910447"/>
    <w:rsid w:val="00926162"/>
    <w:rsid w:val="00935CBF"/>
    <w:rsid w:val="00991732"/>
    <w:rsid w:val="009A0F6B"/>
    <w:rsid w:val="009B55AE"/>
    <w:rsid w:val="009E621B"/>
    <w:rsid w:val="009F7494"/>
    <w:rsid w:val="00A162EB"/>
    <w:rsid w:val="00A363DA"/>
    <w:rsid w:val="00A571E2"/>
    <w:rsid w:val="00A573CB"/>
    <w:rsid w:val="00A602F6"/>
    <w:rsid w:val="00A67655"/>
    <w:rsid w:val="00A8352C"/>
    <w:rsid w:val="00A84383"/>
    <w:rsid w:val="00AF74D5"/>
    <w:rsid w:val="00B072F7"/>
    <w:rsid w:val="00B13086"/>
    <w:rsid w:val="00B9658C"/>
    <w:rsid w:val="00C04D2F"/>
    <w:rsid w:val="00C30EFA"/>
    <w:rsid w:val="00C32F11"/>
    <w:rsid w:val="00C46295"/>
    <w:rsid w:val="00CC2B61"/>
    <w:rsid w:val="00CF7B1B"/>
    <w:rsid w:val="00D22803"/>
    <w:rsid w:val="00DD5A88"/>
    <w:rsid w:val="00DE4638"/>
    <w:rsid w:val="00E92CC6"/>
    <w:rsid w:val="00E97EDA"/>
    <w:rsid w:val="00EB4CDD"/>
    <w:rsid w:val="00EB5B7C"/>
    <w:rsid w:val="00EF34B8"/>
    <w:rsid w:val="00EF6635"/>
    <w:rsid w:val="00F64E9C"/>
    <w:rsid w:val="00FA0325"/>
    <w:rsid w:val="00FA21C4"/>
    <w:rsid w:val="00FB2393"/>
    <w:rsid w:val="00FF544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43D"/>
  <w15:chartTrackingRefBased/>
  <w15:docId w15:val="{BE19C496-A0E2-48AF-BD58-9588E8E9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2</cp:revision>
  <cp:lastPrinted>2024-06-13T05:38:00Z</cp:lastPrinted>
  <dcterms:created xsi:type="dcterms:W3CDTF">2024-06-18T05:50:00Z</dcterms:created>
  <dcterms:modified xsi:type="dcterms:W3CDTF">2024-06-18T05:50:00Z</dcterms:modified>
</cp:coreProperties>
</file>