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+*yqw*ziF*vja*skt*xaD*mDo*yCn*yla*boj*uyb*zew*-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+*eDs*lyd*lyd*lyd*lyd*qcy*bng*iDi*igi*its*zfE*-</w:t>
            </w:r>
            <w:r>
              <w:rPr>
                <w:rFonts w:ascii="PDF417x" w:hAnsi="PDF417x"/>
                <w:sz w:val="24"/>
                <w:szCs w:val="24"/>
              </w:rPr>
              <w:br/>
              <w:t>+*ftw*Cgs*Blo*ldk*BrD*ocs*sxc*Dgk*awg*CAo*onA*-</w:t>
            </w:r>
            <w:r>
              <w:rPr>
                <w:rFonts w:ascii="PDF417x" w:hAnsi="PDF417x"/>
                <w:sz w:val="24"/>
                <w:szCs w:val="24"/>
              </w:rPr>
              <w:br/>
              <w:t>+*ftA*Ejn*Dxi*xii*tia*yaF*ziF*Bbm*Dtj*Cjq*uws*-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+*xjq*wro*Dsm*Dni*Bkr*Dni*rCw*ydt*qdw*gxy*uzq*-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B738631">
            <wp:simplePos x="0" y="0"/>
            <wp:positionH relativeFrom="column">
              <wp:posOffset>609625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4223F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0D95B4FA" w:rsidR="00922DDC" w:rsidRPr="00D4223F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D4223F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22E11BD7" w14:textId="1790EA2A" w:rsidR="000B7230" w:rsidRPr="00D4223F" w:rsidRDefault="00C470A5" w:rsidP="000D4399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GRADSKO VIJEĆE</w:t>
      </w:r>
    </w:p>
    <w:p w14:paraId="3379EE20" w14:textId="7853544B" w:rsidR="00B92D0F" w:rsidRPr="00D4223F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67B11731" w14:textId="77C2F2BF" w:rsidR="00B92D0F" w:rsidRPr="00D4223F" w:rsidRDefault="00C9578C" w:rsidP="00B92D0F">
      <w:pPr>
        <w:rPr>
          <w:rFonts w:ascii="Times New Roman" w:hAnsi="Times New Roman" w:cs="Times New Roman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400-06/24-01/16</w:t>
      </w:r>
      <w:r w:rsidR="008C5FE5"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D4223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2103-4-01-24-1</w:t>
      </w:r>
    </w:p>
    <w:p w14:paraId="6288A7D1" w14:textId="69EFBDFF" w:rsidR="00B92D0F" w:rsidRDefault="00EA41FA" w:rsidP="00D4223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4223F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D4223F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19.12.2024.</w:t>
      </w:r>
      <w:r w:rsidR="00D4223F" w:rsidRPr="00D4223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</w:t>
      </w:r>
    </w:p>
    <w:p w14:paraId="41237FBB" w14:textId="77777777" w:rsidR="00D4223F" w:rsidRPr="00D4223F" w:rsidRDefault="00D4223F" w:rsidP="00D4223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8E9B83D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D4223F">
        <w:rPr>
          <w:rFonts w:ascii="Times New Roman" w:eastAsia="Times New Roman" w:hAnsi="Times New Roman" w:cs="Times New Roman"/>
          <w:bCs/>
          <w:lang w:eastAsia="hr-HR"/>
        </w:rPr>
        <w:t>Na temelju članka 18. stavak 1. Zakona o proračunu („Narodne novine“ broj 144/21) i članka 35. Statuta Grada Garešnice („Službeni glasnik Grada Garešnice“ broj 2/21), Gradsko vijeće Grada Garešnice, na svojoj 29. sjednici održanoj dana 19. prosinca 2024. godine, donijelo je</w:t>
      </w:r>
    </w:p>
    <w:p w14:paraId="194DE92F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CF76E90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B5976E3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D4223F">
        <w:rPr>
          <w:rFonts w:ascii="Times New Roman" w:eastAsia="Times New Roman" w:hAnsi="Times New Roman" w:cs="Times New Roman"/>
          <w:b/>
          <w:bCs/>
          <w:lang w:eastAsia="hr-HR"/>
        </w:rPr>
        <w:t>O  D  L  U  K  U</w:t>
      </w:r>
    </w:p>
    <w:p w14:paraId="52329D82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lang w:eastAsia="hr-HR"/>
        </w:rPr>
      </w:pPr>
      <w:bookmarkStart w:id="1" w:name="_Hlk152841286"/>
      <w:r w:rsidRPr="00D4223F">
        <w:rPr>
          <w:rFonts w:ascii="Times New Roman" w:eastAsia="Times New Roman" w:hAnsi="Times New Roman" w:cs="Times New Roman"/>
          <w:b/>
          <w:bCs/>
          <w:lang w:eastAsia="hr-HR"/>
        </w:rPr>
        <w:t>o  izmjenama i dopunama Odluke o izvršavanju Proračuna Grada Garešnica za 2024. godinu</w:t>
      </w:r>
    </w:p>
    <w:bookmarkEnd w:id="1"/>
    <w:p w14:paraId="7AD16328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DD5FB0E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250D15F0" w14:textId="77777777" w:rsidR="00D4223F" w:rsidRPr="00D4223F" w:rsidRDefault="00D4223F" w:rsidP="00D4223F">
      <w:pPr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Članak 1.</w:t>
      </w:r>
    </w:p>
    <w:p w14:paraId="020F6777" w14:textId="77777777" w:rsidR="00D4223F" w:rsidRPr="00D4223F" w:rsidRDefault="00D4223F" w:rsidP="00D4223F">
      <w:pPr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2400FA74" w14:textId="77777777" w:rsidR="00D4223F" w:rsidRPr="00D4223F" w:rsidRDefault="00D4223F" w:rsidP="00D4223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U Odluci o izvršavanju proračuna Grada Garešnica za 2024. godinu („Službeni glasnik Grada Garešnice“ broj 12/23 i 6/24)</w:t>
      </w: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 xml:space="preserve"> članak 29. mijenja se i sada glasi:</w:t>
      </w:r>
    </w:p>
    <w:p w14:paraId="5494ECCA" w14:textId="77777777" w:rsidR="00D4223F" w:rsidRPr="00D4223F" w:rsidRDefault="00D4223F" w:rsidP="00D4223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„Grad se u 2024. godini može dugoročno zadužiti za investiciju koja se financira iz Proračuna sukladno propisima Zakona o proračunu i Zakona o izvršavanju Državnog proračuna za 2024. godinu do svote utvrđene u Računu financiranja Proračuna.</w:t>
      </w:r>
    </w:p>
    <w:p w14:paraId="704CD826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U 2024. godini Grad Garešnica može se dugoročno zadužiti za financiranje kapitalnih projekata temeljem:</w:t>
      </w:r>
    </w:p>
    <w:p w14:paraId="4F0D10AE" w14:textId="77777777" w:rsidR="00D4223F" w:rsidRPr="00D4223F" w:rsidRDefault="00D4223F" w:rsidP="00D4223F">
      <w:pPr>
        <w:numPr>
          <w:ilvl w:val="0"/>
          <w:numId w:val="1"/>
        </w:numPr>
        <w:ind w:firstLine="567"/>
        <w:contextualSpacing/>
        <w:jc w:val="both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dugoročnog kredita - Linija HBOR NPOO subvencija kamate 50% od Erste &amp; Steiermarkische bank d.d. u ukupnom iznosu od 2.571.173,00 eura, na način da će se u 2024. godini zadužiti za 59.750,00 eura, a u 2025. godini za 2.511.423,00 eura za kapitalne projekte:</w:t>
      </w:r>
    </w:p>
    <w:p w14:paraId="4345CC30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- K101116 “Rekonstrukcija Ulice Vladimira Nazora i Trga hrvatskih branitelja”. Investicija je planirana u Proračunu Grada Garešnice, Razdjel 004 Upravni odjel za gospodarstvo i komunalni sustav, Glava 00401 Upravni odjel za gospodarstvo i komunalni sustav, Program 1011 Izgradnja komunalne infrastrukture. Ukupna vrijednost projekta iznosi 2.379.000,00 eura i isti se financira iz sredstava dugoročnog kredita -  izvor namjenski primici od zaduživanja.</w:t>
      </w:r>
    </w:p>
    <w:p w14:paraId="67B71345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- K100319 “Izgradnja Parka za pse”. Investicija je planirana u Proračunu Grada Garešnice, Razdjel 004 Upravni odjel za gospodarstvo i komunalni sustav, Glava 00401 Upravni odjel za gospodarstvo i komunalni sustav, Program 1003 Priprema i donošenje akata iz djelokruga tijela.  Ukupna vrijednost projekta iznosi 285.750,00 eura i isti se financira iz: sredstava kapitalnih pomoći Fonda za zaštitu okoliša i energetsku učinkovitost u iznosu od 30.577,00 eura i sredstava dugoročnog kredita u iznosu od 192.173,00 -  izvor namjenski primici od zaduživanja i općih prihoda i primitaka u iznosu od 63.000,00 eura.</w:t>
      </w:r>
    </w:p>
    <w:p w14:paraId="756B22FE" w14:textId="77777777" w:rsidR="00D4223F" w:rsidRPr="00D4223F" w:rsidRDefault="00D4223F" w:rsidP="00D4223F">
      <w:pPr>
        <w:numPr>
          <w:ilvl w:val="0"/>
          <w:numId w:val="1"/>
        </w:numPr>
        <w:ind w:firstLine="567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dugoročnog kredita - Linija HBOR investicije javnog sektora od Erste &amp; Steiermarkische bank d.d. u ukupnom iznosu od 1.272.397,00 eura na način da će se u 2024. godini zadužiti za 673.081,00 eura, a u 2025. godini  za 599.316,00 eura za kapitalne projekte:</w:t>
      </w:r>
    </w:p>
    <w:p w14:paraId="2A2A5DD1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 xml:space="preserve">- K100404 “Sanacija odlagališta komunalnog otpada Johovača”. Investicija je planirana u Proračunu Grada Garešnice, Razdjel 004 Upravni odjel za gospodarstvo i komunalni sustav, Glava 00401 Upravni odjel za gospodarstvo i komunalni sustav, Program 004 Zaštita okoliša i prirode. Ukupna vrijednost projekta iznosi 1.682.338,00 eura i isti se financira iz: sredstava pomoći  Fonda za zaštitu okoliša i energetsku učinkovitost u iznosu od 1.279.257,00 eura, kapitalnih pomoći iz proračuna Općine Hercegovac, Općine Velika Trnovitica i Općine Berek u iznosu od 9.325,00 eura i dugoročnog kredita  u iznosu od 393.756,00 eura – izvor namjenski primici od zaduživanja. </w:t>
      </w:r>
    </w:p>
    <w:p w14:paraId="365DD200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84E10E2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5EA817E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076C558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 xml:space="preserve">- K101605 “Dogradnja dječjeg vrtića “Maslačak”. Investicija je planirana u Proračunu Grada Garešnice, Razdjel 002 Upravni odjel za društvene djelatnosti, imovinu i opće poslove, Glava 00201 Upravni odjel za društvene djelatnosti, imovinu i opće poslove, Program 1016 Predškolsko obrazovanje.   </w:t>
      </w:r>
    </w:p>
    <w:p w14:paraId="277DA380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Ukupna vrijednost projekta iznosi 1.156.000,00 eura i isti se financira iz sredstava pomoći fondova Europske unije u iznosu od 487.359,00 eura, sukladno Ugovoru o dodjeli bespovratnih sredstava za projekte koji se financiraju iz mahanizma za oporavak i otpornost, NPOO.C3.1.R1-11.02.02121, sklopljenim sa Ministarstvom znanosti i obrazovanja, dugoročnog kredita  u iznosu od 633.641,00 eura – izvor namjenski primici od zaduživanja i prihoda od prodaje neproizvedene dugotrajne imovine u iznosu od 35.000,00 eura.</w:t>
      </w:r>
    </w:p>
    <w:p w14:paraId="19F639DF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- K101606 “Obnova dječjeg vrtića “Maslačak” – objekt na adresi Petra Svačića 11D, Garešnica – Faza I. Investicija je planirana u Proračunu Grada Garešnice, Razdjel 002 Upravni odjel za društvene djelatnosti, imovinu i opće poslove, Glava 00201 Upravni odjel za društvene djelatnosti, imovinu i opće poslove, Program 1016 Predškolsko obrazovanje. Ukupna vrijednost projekta iznosi 364.100,00 eura i isti se financira iz: sredstava pomoći iz državnog proračuna u iznosu od 70.000,00 eura temeljem Odluke  Ministarstva regionalnog razvoja i fondova Europske unije, dugoročnog kredita u iznosu od 245.000,00 eura – izvor namjenski primici od zaduživanja i općih prihoda i primitaka u iznosu od 49.100,00 eura.</w:t>
      </w:r>
    </w:p>
    <w:p w14:paraId="1616E7B9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Otplata glavnice kredita planira se na rok od 10 (deset) godina nakon isteka korištenja kredita. Rok korištenja kredita do 31.12.2025. godine.</w:t>
      </w:r>
    </w:p>
    <w:p w14:paraId="07C4512B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Rashodi na ime naknade za obradu kreditnih zahtjeva,  izdaci za otplatu zajmova i rashodi na ime troškova kredita (kamata) planirani su u Proračunu za 2024. godinu i projekcijama za 2025. i 2026. godinu, Razdjel 003 Upravni odjel za financije, Glava 00301 Upravni odjel za financije, Program 021 Priprema i donošenje akata iz djelokruga tijela, Aktivnost A102102 Zaduživanje.</w:t>
      </w:r>
    </w:p>
    <w:p w14:paraId="116A9180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 xml:space="preserve">Dugoročno zaduženje početkom 2024. godine iznosi 61.191,56 eura temeljem beskamatnog zajma iz državnog proračuna po osnovi odgode plaćanja poreza na dohodak i prireza porezu na dohodak odobrenog 2020. godine. Tijekom 2024. godine planira se povrat dijela beskamatnog zajma u iznosu od 20.000,00 eura. Iznos novog kreditnog zaduženja Grada Garešnice u 2024. godini temeljem dugoročnih kredita za investicije iznosi 732.831,00 eura. Iznos ukupnog kreditnog zaduženja na kraju proračunske godine, odnosno na dan 31.12.2024. godine iznosit će 774.022,56 eura. </w:t>
      </w:r>
    </w:p>
    <w:p w14:paraId="405C9BCA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Iznos novog kreditnog zaduženja u 2025. godini temeljem povlačenja sredstava dugoročnih kredita za investicije u toj proračunskoj godini iznosi 3.110.739,00 eura.</w:t>
      </w:r>
    </w:p>
    <w:p w14:paraId="3BD16861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Stanje zaduženja na dan 31.12.2025. godine iznosit će 3.864.761,56 eura.</w:t>
      </w:r>
    </w:p>
    <w:p w14:paraId="6B9E1C77" w14:textId="77777777" w:rsidR="00D4223F" w:rsidRPr="00D4223F" w:rsidRDefault="00D4223F" w:rsidP="00D4223F">
      <w:pPr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 xml:space="preserve">Iznos novog kreditnog zaduženja u 2026. godini planira se u iznosu od 1.000.000,00 eura za sufinanciranje </w:t>
      </w:r>
      <w:r w:rsidRPr="00D4223F">
        <w:rPr>
          <w:rFonts w:ascii="Times New Roman" w:eastAsia="Times New Roman" w:hAnsi="Times New Roman" w:cs="Times New Roman"/>
          <w:bCs/>
          <w:noProof w:val="0"/>
          <w:kern w:val="2"/>
          <w:lang w:eastAsia="hr-HR"/>
          <w14:ligatures w14:val="standardContextual"/>
        </w:rPr>
        <w:t xml:space="preserve">kapitalnog projekta „Razvoj vodno – komunalne infrastrukture naselja Garešnica i Hercegovac “– (aglomeracija) sukladno Ugovoru o sufinanciranju KLASA:325-01/24-01/1, URBROJ: 2103-4-02-24-1 od 6.9.2024. godine. </w:t>
      </w:r>
      <w:bookmarkStart w:id="2" w:name="_Hlk182893981"/>
      <w:r w:rsidRPr="00D4223F">
        <w:rPr>
          <w:rFonts w:ascii="Times New Roman" w:eastAsia="Times New Roman" w:hAnsi="Times New Roman" w:cs="Times New Roman"/>
          <w:bCs/>
          <w:noProof w:val="0"/>
          <w:kern w:val="2"/>
          <w:lang w:eastAsia="hr-HR"/>
          <w14:ligatures w14:val="standardContextual"/>
        </w:rPr>
        <w:t>Isti projekt se sufinancira i iz fondova Europske unije - sredstvima Nacionalnog programa otpornosti i oporavka (NPOO), sredstvima VODNE USLUGE  d.o.o., sredstvima Općine Hercegovac i Hrvatskih voda.</w:t>
      </w:r>
      <w:bookmarkEnd w:id="2"/>
    </w:p>
    <w:p w14:paraId="2BB6E928" w14:textId="77777777" w:rsidR="00D4223F" w:rsidRPr="00D4223F" w:rsidRDefault="00D4223F" w:rsidP="00D4223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231B7AFA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Članak 2.</w:t>
      </w:r>
    </w:p>
    <w:p w14:paraId="70497B52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E0CE2F6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 xml:space="preserve">Ostale odredbe  Odluke </w:t>
      </w: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 xml:space="preserve">o izvršavanju proračuna Grada Garešnica za 2024. godinu </w:t>
      </w: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ostaju neizmijenjene.</w:t>
      </w:r>
    </w:p>
    <w:p w14:paraId="5F6BE00A" w14:textId="77777777" w:rsidR="00D4223F" w:rsidRPr="00D4223F" w:rsidRDefault="00D4223F" w:rsidP="00D42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87ED652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kern w:val="2"/>
          <w14:ligatures w14:val="standardContextual"/>
        </w:rPr>
        <w:t>Članak 3.</w:t>
      </w:r>
    </w:p>
    <w:p w14:paraId="44F0D6D7" w14:textId="77777777" w:rsidR="00D4223F" w:rsidRPr="00D4223F" w:rsidRDefault="00D4223F" w:rsidP="00D4223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66EC1C8" w14:textId="77777777" w:rsidR="00D4223F" w:rsidRPr="00D4223F" w:rsidRDefault="00D4223F" w:rsidP="00D4223F">
      <w:pPr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Ova Odluka stupa na snagu osmog dana od dana objave u Službenom glasniku Grada Garešnice.</w:t>
      </w:r>
    </w:p>
    <w:p w14:paraId="420D0107" w14:textId="77777777" w:rsidR="00D4223F" w:rsidRPr="00D4223F" w:rsidRDefault="00D4223F" w:rsidP="00D4223F">
      <w:pPr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07ED4E8D" w14:textId="77777777" w:rsidR="00D4223F" w:rsidRPr="00D4223F" w:rsidRDefault="00D4223F" w:rsidP="00D4223F">
      <w:pPr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35EB2501" w14:textId="77777777" w:rsidR="00D4223F" w:rsidRPr="00D4223F" w:rsidRDefault="00D4223F" w:rsidP="00D4223F">
      <w:pPr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18F77088" w14:textId="77777777" w:rsidR="00D4223F" w:rsidRPr="00D4223F" w:rsidRDefault="00D4223F" w:rsidP="00D4223F">
      <w:pPr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67A4CAB9" w14:textId="77777777" w:rsidR="00D4223F" w:rsidRPr="00D4223F" w:rsidRDefault="00D4223F" w:rsidP="00D4223F">
      <w:pPr>
        <w:ind w:firstLine="4253"/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PREDSJEDNIK GRADSKOG VIJEĆA</w:t>
      </w:r>
    </w:p>
    <w:p w14:paraId="380219B0" w14:textId="77777777" w:rsidR="00D4223F" w:rsidRPr="00D4223F" w:rsidRDefault="00D4223F" w:rsidP="00D4223F">
      <w:pPr>
        <w:ind w:firstLine="4253"/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43A03FCA" w14:textId="77777777" w:rsidR="00D4223F" w:rsidRPr="00D4223F" w:rsidRDefault="00D4223F" w:rsidP="00D4223F">
      <w:pPr>
        <w:ind w:firstLine="4253"/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  <w:r w:rsidRPr="00D4223F">
        <w:rPr>
          <w:rFonts w:ascii="Times New Roman" w:eastAsia="Calibri" w:hAnsi="Times New Roman" w:cs="Times New Roman"/>
          <w:noProof w:val="0"/>
          <w:kern w:val="2"/>
          <w14:ligatures w14:val="standardContextual"/>
        </w:rPr>
        <w:t>Željko Starčević</w:t>
      </w:r>
    </w:p>
    <w:p w14:paraId="75BC13D4" w14:textId="77777777" w:rsidR="00D4223F" w:rsidRPr="00D4223F" w:rsidRDefault="00D4223F" w:rsidP="00D4223F">
      <w:pPr>
        <w:ind w:firstLine="4253"/>
        <w:jc w:val="center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4B5197FD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14409503" w14:textId="77777777" w:rsidR="00D4223F" w:rsidRPr="00D4223F" w:rsidRDefault="00D4223F" w:rsidP="00D4223F">
      <w:pPr>
        <w:jc w:val="both"/>
        <w:rPr>
          <w:rFonts w:ascii="Times New Roman" w:eastAsia="Calibri" w:hAnsi="Times New Roman" w:cs="Times New Roman"/>
          <w:noProof w:val="0"/>
          <w:kern w:val="2"/>
          <w14:ligatures w14:val="standardContextual"/>
        </w:rPr>
      </w:pPr>
    </w:p>
    <w:p w14:paraId="1BD4E6FF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012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0D4399"/>
    <w:rsid w:val="001C450B"/>
    <w:rsid w:val="00275B0C"/>
    <w:rsid w:val="00347D72"/>
    <w:rsid w:val="003F65C1"/>
    <w:rsid w:val="00575A03"/>
    <w:rsid w:val="005E1360"/>
    <w:rsid w:val="00693AB1"/>
    <w:rsid w:val="008A562A"/>
    <w:rsid w:val="008C5FE5"/>
    <w:rsid w:val="00922DDC"/>
    <w:rsid w:val="009B7A12"/>
    <w:rsid w:val="00A836D0"/>
    <w:rsid w:val="00AC35DA"/>
    <w:rsid w:val="00B92D0F"/>
    <w:rsid w:val="00C470A5"/>
    <w:rsid w:val="00C9578C"/>
    <w:rsid w:val="00D4223F"/>
    <w:rsid w:val="00D707B3"/>
    <w:rsid w:val="00DC2F7E"/>
    <w:rsid w:val="00E26EFC"/>
    <w:rsid w:val="00EA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2024-12-31T08:18:00Z</dcterms:created>
  <dcterms:modified xsi:type="dcterms:W3CDTF">2024-12-31T08:18:00Z</dcterms:modified>
</cp:coreProperties>
</file>