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+*yqw*xnE*yxl*Doz*xaD*mDo*yCn*ubD*sdo*jus*zew*-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+*eDs*lyd*lyd*lyd*lyd*ECj*vxa*tyf*kzd*tjm*zfE*-</w:t>
            </w:r>
            <w:r>
              <w:rPr>
                <w:rFonts w:ascii="PDF417x" w:hAnsi="PDF417x"/>
                <w:sz w:val="24"/>
                <w:szCs w:val="24"/>
              </w:rPr>
              <w:br/>
              <w:t>+*ftw*qEc*bjr*wqz*swe*xow*stD*iwk*tfk*xsf*onA*-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+*ftA*gzc*wlB*ykq*zEr*tgC*izl*yFg*BjE*hzD*uws*-</w:t>
            </w:r>
            <w:r>
              <w:rPr>
                <w:rFonts w:ascii="PDF417x" w:hAnsi="PDF417x"/>
                <w:sz w:val="24"/>
                <w:szCs w:val="24"/>
              </w:rPr>
              <w:br/>
              <w:t>+*xjq*rtc*gEb*ntg*xDt*jEk*cns*rtn*jqE*zfq*uzq*-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2103-4-02-24-3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28.06.2024.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1C4BD365" w14:textId="4AB7A5D1" w:rsidR="00522BF8" w:rsidRPr="00700445" w:rsidRDefault="00522BF8" w:rsidP="00522BF8">
      <w:pPr>
        <w:jc w:val="both"/>
        <w:rPr>
          <w:rFonts w:eastAsia="Times New Roman" w:cs="Calibri"/>
          <w:noProof w:val="0"/>
        </w:rPr>
      </w:pPr>
      <w:r w:rsidRPr="00700445">
        <w:rPr>
          <w:rFonts w:eastAsia="Times New Roman" w:cs="Calibri"/>
          <w:bCs/>
          <w:noProof w:val="0"/>
        </w:rPr>
        <w:t xml:space="preserve">Temeljem članka 66. st. 3 Zakona o proračunu (Narodne novine RH broj: 144/21), članka 9. Odluke o izvršavanju Proračuna Grada Garešnice (Službeni glasnik Grada Garešnice, broj </w:t>
      </w:r>
      <w:r>
        <w:rPr>
          <w:rFonts w:eastAsia="Times New Roman" w:cs="Calibri"/>
          <w:bCs/>
          <w:noProof w:val="0"/>
        </w:rPr>
        <w:t>12/23 i 6/24</w:t>
      </w:r>
      <w:r w:rsidRPr="00700445">
        <w:rPr>
          <w:rFonts w:eastAsia="Times New Roman" w:cs="Calibri"/>
          <w:bCs/>
          <w:noProof w:val="0"/>
        </w:rPr>
        <w:t xml:space="preserve">) i </w:t>
      </w:r>
      <w:r w:rsidRPr="00700445">
        <w:rPr>
          <w:rFonts w:eastAsia="Times New Roman" w:cs="Calibri"/>
          <w:noProof w:val="0"/>
        </w:rPr>
        <w:t>članka 53. Statuta Grada Garešnice (Službeni glasnik Grada Garešnice, broj 2/21), podnosim</w:t>
      </w:r>
    </w:p>
    <w:p w14:paraId="23F98A95" w14:textId="77777777" w:rsidR="00522BF8" w:rsidRPr="00700445" w:rsidRDefault="00522BF8" w:rsidP="00522BF8">
      <w:pPr>
        <w:jc w:val="both"/>
        <w:rPr>
          <w:rFonts w:eastAsia="Times New Roman" w:cs="Calibri"/>
          <w:noProof w:val="0"/>
        </w:rPr>
      </w:pPr>
    </w:p>
    <w:p w14:paraId="37463525" w14:textId="77777777" w:rsidR="00522BF8" w:rsidRPr="00700445" w:rsidRDefault="00522BF8" w:rsidP="00522BF8">
      <w:pPr>
        <w:jc w:val="both"/>
        <w:rPr>
          <w:rFonts w:eastAsia="Times New Roman" w:cs="Calibri"/>
          <w:noProof w:val="0"/>
        </w:rPr>
      </w:pPr>
    </w:p>
    <w:p w14:paraId="1B719D11" w14:textId="77777777" w:rsidR="00522BF8" w:rsidRPr="00700445" w:rsidRDefault="00522BF8" w:rsidP="00522BF8">
      <w:pPr>
        <w:jc w:val="center"/>
        <w:rPr>
          <w:rFonts w:eastAsia="Times New Roman" w:cs="Calibri"/>
          <w:b/>
          <w:bCs/>
          <w:noProof w:val="0"/>
        </w:rPr>
      </w:pPr>
      <w:r w:rsidRPr="00700445">
        <w:rPr>
          <w:rFonts w:eastAsia="Times New Roman" w:cs="Calibri"/>
          <w:b/>
          <w:bCs/>
          <w:noProof w:val="0"/>
        </w:rPr>
        <w:t xml:space="preserve">I Z V J E Š Ć E </w:t>
      </w:r>
    </w:p>
    <w:p w14:paraId="70A359BC" w14:textId="77777777" w:rsidR="00522BF8" w:rsidRPr="00700445" w:rsidRDefault="00522BF8" w:rsidP="00522BF8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o korištenju sredstava Proračunske zalihe Proračuna Grada Garešnice</w:t>
      </w:r>
    </w:p>
    <w:p w14:paraId="45B662DA" w14:textId="457CFE84" w:rsidR="00522BF8" w:rsidRPr="00700445" w:rsidRDefault="00522BF8" w:rsidP="00522BF8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travanj - lipanj</w:t>
      </w:r>
      <w:r w:rsidRPr="00700445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4</w:t>
      </w:r>
      <w:r w:rsidRPr="00700445">
        <w:rPr>
          <w:rFonts w:eastAsia="Times New Roman" w:cs="Calibri"/>
          <w:noProof w:val="0"/>
        </w:rPr>
        <w:t>. godine</w:t>
      </w:r>
    </w:p>
    <w:p w14:paraId="00FB3238" w14:textId="77777777" w:rsidR="00522BF8" w:rsidRPr="00700445" w:rsidRDefault="00522BF8" w:rsidP="00522BF8">
      <w:pPr>
        <w:jc w:val="center"/>
        <w:rPr>
          <w:rFonts w:eastAsia="Times New Roman" w:cs="Calibri"/>
          <w:noProof w:val="0"/>
        </w:rPr>
      </w:pPr>
    </w:p>
    <w:p w14:paraId="3FC24CD6" w14:textId="77777777" w:rsidR="00522BF8" w:rsidRPr="00700445" w:rsidRDefault="00522BF8" w:rsidP="00522BF8">
      <w:pPr>
        <w:rPr>
          <w:rFonts w:eastAsia="Times New Roman" w:cs="Calibri"/>
          <w:b/>
          <w:noProof w:val="0"/>
          <w:lang w:val="en-US" w:eastAsia="en-GB"/>
        </w:rPr>
      </w:pPr>
    </w:p>
    <w:p w14:paraId="1C0A73F4" w14:textId="77777777" w:rsidR="00522BF8" w:rsidRPr="00700445" w:rsidRDefault="00522BF8" w:rsidP="00522BF8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580F1E26" w14:textId="77777777" w:rsidR="00522BF8" w:rsidRPr="00700445" w:rsidRDefault="00522BF8" w:rsidP="00522BF8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4.</w:t>
      </w:r>
      <w:r w:rsidRPr="00700445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nesreća, za izvršavanje sudskih odluka i nagodbi za isplatu naknade i rente, te za druge nepredviđene rashode u tijeku godine.</w:t>
      </w:r>
    </w:p>
    <w:p w14:paraId="57046EB8" w14:textId="2D3AC3FB" w:rsidR="00522BF8" w:rsidRPr="00700445" w:rsidRDefault="00522BF8" w:rsidP="00522BF8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 xml:space="preserve">. godinu (Službeni glasnik Grada Garešnice, br. </w:t>
      </w:r>
      <w:r>
        <w:rPr>
          <w:rFonts w:eastAsia="Times New Roman" w:cs="Calibri"/>
          <w:noProof w:val="0"/>
          <w:lang w:eastAsia="en-GB"/>
        </w:rPr>
        <w:t>12/23 i 6/24</w:t>
      </w:r>
      <w:r w:rsidRPr="00700445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60187DA8" w14:textId="77777777" w:rsidR="00522BF8" w:rsidRPr="00700445" w:rsidRDefault="00522BF8" w:rsidP="00522BF8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269976B1" w14:textId="4E5BE02D" w:rsidR="00522BF8" w:rsidRPr="00700445" w:rsidRDefault="00522BF8" w:rsidP="00522BF8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U razdoblju od 1. </w:t>
      </w:r>
      <w:r w:rsidR="00C557FB">
        <w:rPr>
          <w:rFonts w:eastAsia="Times New Roman" w:cs="Calibri"/>
          <w:noProof w:val="0"/>
          <w:lang w:eastAsia="en-GB"/>
        </w:rPr>
        <w:t>travnja</w:t>
      </w:r>
      <w:r w:rsidRPr="00700445">
        <w:rPr>
          <w:rFonts w:eastAsia="Times New Roman" w:cs="Calibri"/>
          <w:noProof w:val="0"/>
          <w:lang w:eastAsia="en-GB"/>
        </w:rPr>
        <w:t xml:space="preserve"> do 3</w:t>
      </w:r>
      <w:r>
        <w:rPr>
          <w:rFonts w:eastAsia="Times New Roman" w:cs="Calibri"/>
          <w:noProof w:val="0"/>
          <w:lang w:eastAsia="en-GB"/>
        </w:rPr>
        <w:t>0</w:t>
      </w:r>
      <w:r w:rsidRPr="00700445">
        <w:rPr>
          <w:rFonts w:eastAsia="Times New Roman" w:cs="Calibri"/>
          <w:noProof w:val="0"/>
          <w:lang w:eastAsia="en-GB"/>
        </w:rPr>
        <w:t>.</w:t>
      </w:r>
      <w:r>
        <w:rPr>
          <w:rFonts w:eastAsia="Times New Roman" w:cs="Calibri"/>
          <w:noProof w:val="0"/>
          <w:lang w:eastAsia="en-GB"/>
        </w:rPr>
        <w:t xml:space="preserve"> lipnja </w:t>
      </w:r>
      <w:r w:rsidRPr="00700445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686B23EA" w14:textId="77777777" w:rsidR="00522BF8" w:rsidRPr="00700445" w:rsidRDefault="00522BF8" w:rsidP="00522BF8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714DAA03" w14:textId="77777777" w:rsidR="00522BF8" w:rsidRPr="00700445" w:rsidRDefault="00522BF8" w:rsidP="00522BF8">
      <w:pPr>
        <w:jc w:val="both"/>
        <w:rPr>
          <w:rFonts w:eastAsia="Times New Roman" w:cs="Calibri"/>
          <w:noProof w:val="0"/>
        </w:rPr>
      </w:pPr>
    </w:p>
    <w:p w14:paraId="4B802568" w14:textId="77777777" w:rsidR="00522BF8" w:rsidRPr="00700445" w:rsidRDefault="00522BF8" w:rsidP="00522BF8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GRADONAČELNIK:</w:t>
      </w:r>
    </w:p>
    <w:p w14:paraId="0E27EB6A" w14:textId="77777777" w:rsidR="00522BF8" w:rsidRPr="00700445" w:rsidRDefault="00522BF8" w:rsidP="00522BF8">
      <w:pPr>
        <w:ind w:firstLine="4253"/>
        <w:jc w:val="center"/>
        <w:rPr>
          <w:rFonts w:eastAsia="Times New Roman" w:cs="Calibri"/>
          <w:noProof w:val="0"/>
        </w:rPr>
      </w:pPr>
    </w:p>
    <w:p w14:paraId="2C7EF2D0" w14:textId="77777777" w:rsidR="00522BF8" w:rsidRPr="00700445" w:rsidRDefault="00522BF8" w:rsidP="00522BF8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 xml:space="preserve">Josip Bilandžija, </w:t>
      </w:r>
      <w:proofErr w:type="spellStart"/>
      <w:r w:rsidRPr="00700445">
        <w:rPr>
          <w:rFonts w:eastAsia="Times New Roman" w:cs="Calibri"/>
          <w:noProof w:val="0"/>
        </w:rPr>
        <w:t>dipl.ing.šum</w:t>
      </w:r>
      <w:proofErr w:type="spellEnd"/>
      <w:r w:rsidRPr="00700445">
        <w:rPr>
          <w:rFonts w:eastAsia="Times New Roman" w:cs="Calibri"/>
          <w:noProof w:val="0"/>
        </w:rPr>
        <w:t>.</w:t>
      </w:r>
    </w:p>
    <w:p w14:paraId="1D35DCF9" w14:textId="77777777" w:rsidR="00522BF8" w:rsidRPr="0063773E" w:rsidRDefault="00522BF8" w:rsidP="00522BF8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22BF8"/>
    <w:rsid w:val="00575A03"/>
    <w:rsid w:val="00693AB1"/>
    <w:rsid w:val="007308DC"/>
    <w:rsid w:val="007B6231"/>
    <w:rsid w:val="008A562A"/>
    <w:rsid w:val="008C5FE5"/>
    <w:rsid w:val="00922DDC"/>
    <w:rsid w:val="009B7A12"/>
    <w:rsid w:val="00A836D0"/>
    <w:rsid w:val="00AC35DA"/>
    <w:rsid w:val="00B1589A"/>
    <w:rsid w:val="00B92D0F"/>
    <w:rsid w:val="00C557FB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3</cp:revision>
  <cp:lastPrinted>2024-07-03T06:49:00Z</cp:lastPrinted>
  <dcterms:created xsi:type="dcterms:W3CDTF">2024-07-03T06:58:00Z</dcterms:created>
  <dcterms:modified xsi:type="dcterms:W3CDTF">2024-07-03T06:59:00Z</dcterms:modified>
</cp:coreProperties>
</file>